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E4638F">
      <w:pPr>
        <w:jc w:val="center"/>
        <w:outlineLvl w:val="0"/>
        <w:rPr>
          <w:rFonts w:hint="eastAsia" w:ascii="方正小标宋简体" w:hAnsi="方正小标宋简体" w:eastAsia="方正小标宋简体" w:cs="方正小标宋简体"/>
          <w:sz w:val="36"/>
          <w:szCs w:val="36"/>
          <w:lang w:val="en-US" w:eastAsia="zh-CN"/>
        </w:rPr>
      </w:pPr>
      <w:bookmarkStart w:id="0" w:name="_GoBack"/>
      <w:bookmarkEnd w:id="0"/>
      <w:r>
        <w:rPr>
          <w:rFonts w:hint="eastAsia" w:ascii="方正小标宋简体" w:hAnsi="方正小标宋简体" w:eastAsia="方正小标宋简体" w:cs="方正小标宋简体"/>
          <w:b w:val="0"/>
          <w:bCs w:val="0"/>
          <w:i w:val="0"/>
          <w:iCs w:val="0"/>
          <w:caps w:val="0"/>
          <w:spacing w:val="0"/>
          <w:sz w:val="36"/>
          <w:szCs w:val="36"/>
          <w:shd w:val="clear" w:color="auto" w:fill="auto"/>
          <w:lang w:val="en-US" w:eastAsia="zh-CN"/>
        </w:rPr>
        <w:t>变更公告附件</w:t>
      </w:r>
    </w:p>
    <w:p w14:paraId="0C7E421C">
      <w:pPr>
        <w:jc w:val="left"/>
        <w:outlineLvl w:val="9"/>
        <w:rPr>
          <w:rFonts w:hint="default" w:ascii="方正小标宋简体" w:hAnsi="方正小标宋简体" w:eastAsia="方正小标宋简体" w:cs="方正小标宋简体"/>
          <w:sz w:val="36"/>
          <w:szCs w:val="36"/>
          <w:lang w:val="en-US" w:eastAsia="zh-CN"/>
        </w:rPr>
      </w:pPr>
    </w:p>
    <w:p w14:paraId="3C423A64">
      <w:pPr>
        <w:jc w:val="left"/>
        <w:rPr>
          <w:rFonts w:hint="eastAsia" w:ascii="方正仿宋简体" w:hAnsi="方正仿宋简体" w:eastAsia="方正仿宋简体" w:cs="方正仿宋简体"/>
          <w:sz w:val="30"/>
          <w:szCs w:val="30"/>
          <w:lang w:val="en-US" w:eastAsia="zh-CN"/>
        </w:rPr>
      </w:pPr>
      <w:r>
        <w:rPr>
          <w:rFonts w:hint="eastAsia" w:ascii="方正仿宋简体" w:hAnsi="方正仿宋简体" w:eastAsia="方正仿宋简体" w:cs="方正仿宋简体"/>
          <w:sz w:val="30"/>
          <w:szCs w:val="30"/>
          <w:lang w:val="en-US" w:eastAsia="zh-CN"/>
        </w:rPr>
        <w:t>各供应商：</w:t>
      </w:r>
    </w:p>
    <w:p w14:paraId="49768CD5">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default" w:ascii="方正仿宋简体" w:hAnsi="方正仿宋简体" w:eastAsia="方正仿宋简体" w:cs="方正仿宋简体"/>
          <w:sz w:val="30"/>
          <w:szCs w:val="30"/>
          <w:lang w:val="en-US" w:eastAsia="zh-CN"/>
        </w:rPr>
      </w:pPr>
      <w:r>
        <w:rPr>
          <w:rFonts w:hint="eastAsia" w:ascii="方正仿宋简体" w:hAnsi="方正仿宋简体" w:eastAsia="方正仿宋简体" w:cs="方正仿宋简体"/>
          <w:sz w:val="30"/>
          <w:szCs w:val="30"/>
          <w:lang w:val="en-US" w:eastAsia="zh-CN"/>
        </w:rPr>
        <w:t>为进一步明确本项目（</w:t>
      </w:r>
      <w:r>
        <w:rPr>
          <w:rFonts w:hint="default" w:ascii="Times New Roman" w:hAnsi="Times New Roman" w:eastAsia="方正仿宋简体" w:cs="Times New Roman"/>
          <w:b w:val="0"/>
          <w:bCs w:val="0"/>
          <w:i w:val="0"/>
          <w:iCs w:val="0"/>
          <w:caps w:val="0"/>
          <w:color w:val="333333"/>
          <w:spacing w:val="0"/>
          <w:sz w:val="30"/>
          <w:szCs w:val="30"/>
          <w:shd w:val="clear" w:color="auto" w:fill="auto"/>
        </w:rPr>
        <w:t>CCDC30252153</w:t>
      </w:r>
      <w:r>
        <w:rPr>
          <w:rFonts w:hint="eastAsia" w:ascii="方正仿宋简体" w:hAnsi="方正仿宋简体" w:eastAsia="方正仿宋简体" w:cs="方正仿宋简体"/>
          <w:sz w:val="30"/>
          <w:szCs w:val="30"/>
          <w:lang w:val="en-US" w:eastAsia="zh-CN"/>
        </w:rPr>
        <w:t>）测试评估工作的具体范围、实施路径与交付要求，确保测评工作聚焦核心、过程清晰、成果可验，现对采购方案相关内容作如下说明与细化。</w:t>
      </w:r>
    </w:p>
    <w:p w14:paraId="34405E90">
      <w:pPr>
        <w:pStyle w:val="2"/>
        <w:numPr>
          <w:ilvl w:val="0"/>
          <w:numId w:val="1"/>
        </w:numPr>
        <w:ind w:left="0" w:leftChars="0" w:firstLine="0" w:firstLineChars="0"/>
        <w:outlineLvl w:val="0"/>
        <w:rPr>
          <w:rStyle w:val="10"/>
          <w:rFonts w:hint="eastAsia" w:ascii="黑体" w:hAnsi="黑体" w:eastAsia="黑体" w:cs="黑体"/>
          <w:b w:val="0"/>
          <w:bCs w:val="0"/>
          <w:i w:val="0"/>
          <w:caps w:val="0"/>
          <w:color w:val="0F1115"/>
          <w:spacing w:val="0"/>
          <w:sz w:val="30"/>
          <w:szCs w:val="30"/>
          <w:shd w:val="clear" w:color="auto" w:fill="FFFFFF"/>
        </w:rPr>
      </w:pPr>
      <w:r>
        <w:rPr>
          <w:rStyle w:val="10"/>
          <w:rFonts w:hint="eastAsia" w:ascii="黑体" w:hAnsi="黑体" w:eastAsia="黑体" w:cs="黑体"/>
          <w:b w:val="0"/>
          <w:bCs w:val="0"/>
          <w:i w:val="0"/>
          <w:caps w:val="0"/>
          <w:color w:val="0F1115"/>
          <w:spacing w:val="0"/>
          <w:sz w:val="30"/>
          <w:szCs w:val="30"/>
          <w:shd w:val="clear" w:color="auto" w:fill="FFFFFF"/>
        </w:rPr>
        <w:t>测试核心</w:t>
      </w:r>
      <w:r>
        <w:rPr>
          <w:rStyle w:val="10"/>
          <w:rFonts w:hint="eastAsia" w:ascii="黑体" w:hAnsi="黑体" w:eastAsia="黑体" w:cs="黑体"/>
          <w:b w:val="0"/>
          <w:bCs w:val="0"/>
          <w:i w:val="0"/>
          <w:caps w:val="0"/>
          <w:color w:val="0F1115"/>
          <w:spacing w:val="0"/>
          <w:sz w:val="30"/>
          <w:szCs w:val="30"/>
          <w:shd w:val="clear" w:color="auto" w:fill="FFFFFF"/>
          <w:lang w:val="en-US" w:eastAsia="zh-CN"/>
        </w:rPr>
        <w:t>目标</w:t>
      </w:r>
    </w:p>
    <w:p w14:paraId="3D63C850">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00" w:firstLineChars="200"/>
        <w:textAlignment w:val="baseline"/>
        <w:rPr>
          <w:rFonts w:hint="eastAsia" w:ascii="方正仿宋简体" w:hAnsi="方正仿宋简体" w:eastAsia="方正仿宋简体" w:cs="方正仿宋简体"/>
          <w:kern w:val="2"/>
          <w:sz w:val="30"/>
          <w:szCs w:val="30"/>
          <w:lang w:val="en-US" w:eastAsia="zh-CN" w:bidi="ar-SA"/>
        </w:rPr>
      </w:pPr>
      <w:r>
        <w:rPr>
          <w:rFonts w:hint="eastAsia" w:ascii="方正仿宋简体" w:hAnsi="方正仿宋简体" w:eastAsia="方正仿宋简体" w:cs="方正仿宋简体"/>
          <w:kern w:val="2"/>
          <w:sz w:val="30"/>
          <w:szCs w:val="30"/>
          <w:lang w:val="en-US" w:eastAsia="zh-CN" w:bidi="ar-SA"/>
        </w:rPr>
        <w:t>本次测试评估服务应聚焦于目标平台在指定国产化信息技术环境下的适配情况，原则上不涉及对平台各系统具体业务功能与流程的验证。测试重点须围绕“自主可控”核心目标，对平台构成要素的兼容性、替代符合度及</w:t>
      </w:r>
      <w:r>
        <w:rPr>
          <w:rFonts w:hint="eastAsia" w:ascii="方正仿宋简体" w:hAnsi="方正仿宋简体" w:cs="方正仿宋简体"/>
          <w:kern w:val="2"/>
          <w:sz w:val="30"/>
          <w:szCs w:val="30"/>
          <w:lang w:val="en-US" w:eastAsia="zh-CN" w:bidi="ar-SA"/>
        </w:rPr>
        <w:t>替代</w:t>
      </w:r>
      <w:r>
        <w:rPr>
          <w:rFonts w:hint="eastAsia" w:ascii="方正仿宋简体" w:hAnsi="方正仿宋简体" w:eastAsia="方正仿宋简体" w:cs="方正仿宋简体"/>
          <w:kern w:val="2"/>
          <w:sz w:val="30"/>
          <w:szCs w:val="30"/>
          <w:lang w:val="en-US" w:eastAsia="zh-CN" w:bidi="ar-SA"/>
        </w:rPr>
        <w:t>安全</w:t>
      </w:r>
      <w:r>
        <w:rPr>
          <w:rFonts w:hint="eastAsia" w:ascii="方正仿宋简体" w:hAnsi="方正仿宋简体" w:cs="方正仿宋简体"/>
          <w:kern w:val="2"/>
          <w:sz w:val="30"/>
          <w:szCs w:val="30"/>
          <w:lang w:val="en-US" w:eastAsia="zh-CN" w:bidi="ar-SA"/>
        </w:rPr>
        <w:t>性</w:t>
      </w:r>
      <w:r>
        <w:rPr>
          <w:rFonts w:hint="eastAsia" w:ascii="方正仿宋简体" w:hAnsi="方正仿宋简体" w:eastAsia="方正仿宋简体" w:cs="方正仿宋简体"/>
          <w:kern w:val="2"/>
          <w:sz w:val="30"/>
          <w:szCs w:val="30"/>
          <w:lang w:val="en-US" w:eastAsia="zh-CN" w:bidi="ar-SA"/>
        </w:rPr>
        <w:t>进行穿透式检测。</w:t>
      </w:r>
    </w:p>
    <w:p w14:paraId="72EF067D">
      <w:pPr>
        <w:pStyle w:val="2"/>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outlineLvl w:val="0"/>
        <w:rPr>
          <w:rFonts w:hint="eastAsia" w:ascii="黑体" w:hAnsi="黑体" w:eastAsia="黑体" w:cs="黑体"/>
          <w:b w:val="0"/>
          <w:bCs w:val="0"/>
          <w:i w:val="0"/>
          <w:caps w:val="0"/>
          <w:color w:val="0F1115"/>
          <w:spacing w:val="0"/>
          <w:sz w:val="30"/>
          <w:szCs w:val="30"/>
          <w:shd w:val="clear" w:color="auto" w:fill="FFFFFF"/>
        </w:rPr>
      </w:pPr>
      <w:r>
        <w:rPr>
          <w:rFonts w:hint="eastAsia" w:ascii="黑体" w:hAnsi="黑体" w:eastAsia="黑体" w:cs="黑体"/>
          <w:b w:val="0"/>
          <w:bCs w:val="0"/>
          <w:i w:val="0"/>
          <w:caps w:val="0"/>
          <w:color w:val="0F1115"/>
          <w:spacing w:val="0"/>
          <w:sz w:val="30"/>
          <w:szCs w:val="30"/>
          <w:shd w:val="clear" w:color="auto" w:fill="FFFFFF"/>
        </w:rPr>
        <w:t>测试核心</w:t>
      </w:r>
      <w:r>
        <w:rPr>
          <w:rFonts w:hint="eastAsia" w:ascii="黑体" w:hAnsi="黑体" w:eastAsia="黑体" w:cs="黑体"/>
          <w:b w:val="0"/>
          <w:bCs w:val="0"/>
          <w:i w:val="0"/>
          <w:caps w:val="0"/>
          <w:color w:val="0F1115"/>
          <w:spacing w:val="0"/>
          <w:sz w:val="30"/>
          <w:szCs w:val="30"/>
          <w:shd w:val="clear" w:color="auto" w:fill="FFFFFF"/>
          <w:lang w:val="en-US" w:eastAsia="zh-CN"/>
        </w:rPr>
        <w:t>路径</w:t>
      </w:r>
    </w:p>
    <w:p w14:paraId="4DD4A7F4">
      <w:pPr>
        <w:pStyle w:val="3"/>
        <w:keepNext w:val="0"/>
        <w:keepLines w:val="0"/>
        <w:pageBreakBefore w:val="0"/>
        <w:widowControl w:val="0"/>
        <w:kinsoku/>
        <w:wordWrap/>
        <w:overflowPunct/>
        <w:topLinePunct w:val="0"/>
        <w:autoSpaceDE/>
        <w:autoSpaceDN/>
        <w:bidi w:val="0"/>
        <w:adjustRightInd w:val="0"/>
        <w:snapToGrid w:val="0"/>
        <w:spacing w:line="560" w:lineRule="exact"/>
        <w:textAlignment w:val="baseline"/>
        <w:outlineLvl w:val="9"/>
        <w:rPr>
          <w:rFonts w:hint="eastAsia"/>
          <w:color w:val="000000"/>
        </w:rPr>
      </w:pPr>
      <w:r>
        <w:rPr>
          <w:rFonts w:hint="eastAsia"/>
          <w:color w:val="000000"/>
        </w:rPr>
        <w:t>供应商应制定详尽的</w:t>
      </w:r>
      <w:r>
        <w:rPr>
          <w:rFonts w:hint="eastAsia"/>
          <w:color w:val="000000"/>
          <w:lang w:val="en-US" w:eastAsia="zh-CN"/>
        </w:rPr>
        <w:t>自主可控测试评估</w:t>
      </w:r>
      <w:r>
        <w:rPr>
          <w:rFonts w:hint="eastAsia"/>
          <w:color w:val="000000"/>
        </w:rPr>
        <w:t>方案，</w:t>
      </w:r>
      <w:r>
        <w:rPr>
          <w:rFonts w:hint="eastAsia"/>
          <w:color w:val="000000"/>
          <w:lang w:val="en-US" w:eastAsia="zh-CN"/>
        </w:rPr>
        <w:t>包括但不限于以下工作流程</w:t>
      </w:r>
      <w:r>
        <w:rPr>
          <w:rFonts w:hint="eastAsia"/>
          <w:color w:val="000000"/>
        </w:rPr>
        <w:t>：</w:t>
      </w:r>
    </w:p>
    <w:p w14:paraId="210BEB19">
      <w:pPr>
        <w:pStyle w:val="3"/>
        <w:keepNext w:val="0"/>
        <w:keepLines w:val="0"/>
        <w:pageBreakBefore w:val="0"/>
        <w:widowControl w:val="0"/>
        <w:kinsoku/>
        <w:wordWrap/>
        <w:overflowPunct/>
        <w:topLinePunct w:val="0"/>
        <w:autoSpaceDE/>
        <w:autoSpaceDN/>
        <w:bidi w:val="0"/>
        <w:adjustRightInd w:val="0"/>
        <w:snapToGrid w:val="0"/>
        <w:spacing w:line="560" w:lineRule="exact"/>
        <w:textAlignment w:val="baseline"/>
        <w:outlineLvl w:val="9"/>
        <w:rPr>
          <w:rFonts w:hint="eastAsia"/>
          <w:color w:val="000000"/>
        </w:rPr>
      </w:pPr>
      <w:r>
        <w:rPr>
          <w:rFonts w:hint="eastAsia"/>
          <w:b/>
          <w:bCs/>
          <w:color w:val="000000"/>
          <w:lang w:val="en-US" w:eastAsia="zh-CN"/>
        </w:rPr>
        <w:t>自主可控</w:t>
      </w:r>
      <w:r>
        <w:rPr>
          <w:rFonts w:hint="eastAsia"/>
          <w:b/>
          <w:bCs/>
          <w:color w:val="000000"/>
        </w:rPr>
        <w:t>清单建立：</w:t>
      </w:r>
      <w:r>
        <w:rPr>
          <w:rFonts w:hint="eastAsia"/>
          <w:color w:val="000000"/>
        </w:rPr>
        <w:t>全面梳理被测评平台所涉及的基础软硬件（如服务器、操作系统、数据库、中间件等），形成</w:t>
      </w:r>
      <w:r>
        <w:rPr>
          <w:rFonts w:hint="eastAsia"/>
          <w:color w:val="000000"/>
          <w:lang w:val="en-US" w:eastAsia="zh-CN"/>
        </w:rPr>
        <w:t>范围内系统</w:t>
      </w:r>
      <w:r>
        <w:rPr>
          <w:rFonts w:hint="eastAsia"/>
          <w:color w:val="000000"/>
        </w:rPr>
        <w:t>资产</w:t>
      </w:r>
      <w:r>
        <w:rPr>
          <w:rFonts w:hint="eastAsia"/>
          <w:color w:val="000000"/>
          <w:lang w:val="en-US" w:eastAsia="zh-CN"/>
        </w:rPr>
        <w:t>资源</w:t>
      </w:r>
      <w:r>
        <w:rPr>
          <w:rFonts w:hint="eastAsia"/>
          <w:color w:val="000000"/>
        </w:rPr>
        <w:t>清单。</w:t>
      </w:r>
    </w:p>
    <w:p w14:paraId="58525E0C">
      <w:pPr>
        <w:pStyle w:val="3"/>
        <w:keepNext w:val="0"/>
        <w:keepLines w:val="0"/>
        <w:pageBreakBefore w:val="0"/>
        <w:widowControl w:val="0"/>
        <w:kinsoku/>
        <w:wordWrap/>
        <w:overflowPunct/>
        <w:topLinePunct w:val="0"/>
        <w:autoSpaceDE/>
        <w:autoSpaceDN/>
        <w:bidi w:val="0"/>
        <w:adjustRightInd w:val="0"/>
        <w:snapToGrid w:val="0"/>
        <w:spacing w:line="560" w:lineRule="exact"/>
        <w:textAlignment w:val="baseline"/>
        <w:outlineLvl w:val="9"/>
        <w:rPr>
          <w:rFonts w:hint="default" w:eastAsia="方正仿宋简体"/>
          <w:color w:val="000000"/>
          <w:lang w:val="en-US" w:eastAsia="zh-CN"/>
        </w:rPr>
      </w:pPr>
      <w:r>
        <w:rPr>
          <w:rFonts w:hint="eastAsia"/>
          <w:b/>
          <w:bCs/>
          <w:color w:val="000000"/>
          <w:lang w:val="en-US" w:eastAsia="zh-CN"/>
        </w:rPr>
        <w:t>关键组件识别</w:t>
      </w:r>
      <w:r>
        <w:rPr>
          <w:rFonts w:hint="eastAsia"/>
          <w:color w:val="000000"/>
          <w:lang w:val="en-US" w:eastAsia="zh-CN"/>
        </w:rPr>
        <w:t>：针对被测评平台所提供软件物料清单，并结合用户特性挑选关键应用组件进行自主可控评估。</w:t>
      </w:r>
    </w:p>
    <w:p w14:paraId="0DD33A87">
      <w:pPr>
        <w:pStyle w:val="3"/>
        <w:keepNext w:val="0"/>
        <w:keepLines w:val="0"/>
        <w:pageBreakBefore w:val="0"/>
        <w:widowControl w:val="0"/>
        <w:kinsoku/>
        <w:wordWrap/>
        <w:overflowPunct/>
        <w:topLinePunct w:val="0"/>
        <w:autoSpaceDE/>
        <w:autoSpaceDN/>
        <w:bidi w:val="0"/>
        <w:adjustRightInd w:val="0"/>
        <w:snapToGrid w:val="0"/>
        <w:spacing w:line="560" w:lineRule="exact"/>
        <w:textAlignment w:val="baseline"/>
        <w:outlineLvl w:val="9"/>
        <w:rPr>
          <w:rFonts w:hint="eastAsia"/>
          <w:b/>
          <w:bCs/>
          <w:color w:val="000000"/>
        </w:rPr>
      </w:pPr>
      <w:r>
        <w:rPr>
          <w:rFonts w:hint="eastAsia"/>
          <w:b/>
          <w:bCs/>
          <w:color w:val="000000"/>
        </w:rPr>
        <w:t>适配度测试执行：</w:t>
      </w:r>
    </w:p>
    <w:p w14:paraId="7175803D">
      <w:pPr>
        <w:pStyle w:val="3"/>
        <w:keepNext w:val="0"/>
        <w:keepLines w:val="0"/>
        <w:pageBreakBefore w:val="0"/>
        <w:widowControl w:val="0"/>
        <w:numPr>
          <w:ilvl w:val="0"/>
          <w:numId w:val="2"/>
        </w:numPr>
        <w:kinsoku/>
        <w:wordWrap/>
        <w:overflowPunct/>
        <w:topLinePunct w:val="0"/>
        <w:autoSpaceDE/>
        <w:autoSpaceDN/>
        <w:bidi w:val="0"/>
        <w:adjustRightInd w:val="0"/>
        <w:snapToGrid w:val="0"/>
        <w:spacing w:line="560" w:lineRule="exact"/>
        <w:ind w:left="420" w:leftChars="0" w:hanging="420" w:firstLineChars="0"/>
        <w:textAlignment w:val="baseline"/>
        <w:outlineLvl w:val="9"/>
        <w:rPr>
          <w:rFonts w:hint="eastAsia"/>
          <w:color w:val="000000"/>
        </w:rPr>
      </w:pPr>
      <w:r>
        <w:rPr>
          <w:rFonts w:hint="eastAsia"/>
          <w:color w:val="000000"/>
        </w:rPr>
        <w:t>安装部署测试：验证平台各组件在国产化环境中的安装、部署、配置的可行性。</w:t>
      </w:r>
    </w:p>
    <w:p w14:paraId="52C3860D">
      <w:pPr>
        <w:pStyle w:val="3"/>
        <w:keepNext w:val="0"/>
        <w:keepLines w:val="0"/>
        <w:pageBreakBefore w:val="0"/>
        <w:widowControl w:val="0"/>
        <w:numPr>
          <w:ilvl w:val="0"/>
          <w:numId w:val="2"/>
        </w:numPr>
        <w:kinsoku/>
        <w:wordWrap/>
        <w:overflowPunct/>
        <w:topLinePunct w:val="0"/>
        <w:autoSpaceDE/>
        <w:autoSpaceDN/>
        <w:bidi w:val="0"/>
        <w:adjustRightInd w:val="0"/>
        <w:snapToGrid w:val="0"/>
        <w:spacing w:line="560" w:lineRule="exact"/>
        <w:ind w:left="420" w:leftChars="0" w:hanging="420" w:firstLineChars="0"/>
        <w:textAlignment w:val="baseline"/>
        <w:outlineLvl w:val="9"/>
        <w:rPr>
          <w:rFonts w:hint="eastAsia"/>
          <w:color w:val="000000"/>
        </w:rPr>
      </w:pPr>
      <w:r>
        <w:rPr>
          <w:rFonts w:hint="eastAsia"/>
          <w:color w:val="000000"/>
        </w:rPr>
        <w:t>兼容性测试：测试平台在国产化环境下的基本功能运行、数据读写、接口调用等是否正常。</w:t>
      </w:r>
    </w:p>
    <w:p w14:paraId="575AA241">
      <w:pPr>
        <w:pStyle w:val="3"/>
        <w:keepNext w:val="0"/>
        <w:keepLines w:val="0"/>
        <w:pageBreakBefore w:val="0"/>
        <w:widowControl w:val="0"/>
        <w:numPr>
          <w:ilvl w:val="0"/>
          <w:numId w:val="2"/>
        </w:numPr>
        <w:kinsoku/>
        <w:wordWrap/>
        <w:overflowPunct/>
        <w:topLinePunct w:val="0"/>
        <w:autoSpaceDE/>
        <w:autoSpaceDN/>
        <w:bidi w:val="0"/>
        <w:adjustRightInd w:val="0"/>
        <w:snapToGrid w:val="0"/>
        <w:spacing w:line="560" w:lineRule="exact"/>
        <w:ind w:left="420" w:leftChars="0" w:hanging="420" w:firstLineChars="0"/>
        <w:textAlignment w:val="baseline"/>
        <w:outlineLvl w:val="9"/>
        <w:rPr>
          <w:rFonts w:hint="eastAsia"/>
          <w:color w:val="000000"/>
        </w:rPr>
      </w:pPr>
      <w:r>
        <w:rPr>
          <w:rFonts w:hint="eastAsia"/>
          <w:color w:val="000000"/>
        </w:rPr>
        <w:t>性能比对测试：在同等业务压力模型下，比对平台在国产化环境与原环境的核心性能指标差异。</w:t>
      </w:r>
    </w:p>
    <w:p w14:paraId="49E484AF">
      <w:pPr>
        <w:pStyle w:val="3"/>
        <w:keepNext w:val="0"/>
        <w:keepLines w:val="0"/>
        <w:pageBreakBefore w:val="0"/>
        <w:widowControl w:val="0"/>
        <w:numPr>
          <w:ilvl w:val="0"/>
          <w:numId w:val="2"/>
        </w:numPr>
        <w:kinsoku/>
        <w:wordWrap/>
        <w:overflowPunct/>
        <w:topLinePunct w:val="0"/>
        <w:autoSpaceDE/>
        <w:autoSpaceDN/>
        <w:bidi w:val="0"/>
        <w:adjustRightInd w:val="0"/>
        <w:snapToGrid w:val="0"/>
        <w:spacing w:line="560" w:lineRule="exact"/>
        <w:ind w:left="420" w:leftChars="0" w:hanging="420" w:firstLineChars="0"/>
        <w:textAlignment w:val="baseline"/>
        <w:outlineLvl w:val="9"/>
        <w:rPr>
          <w:rFonts w:hint="eastAsia"/>
          <w:color w:val="000000"/>
        </w:rPr>
      </w:pPr>
      <w:r>
        <w:rPr>
          <w:rFonts w:hint="eastAsia"/>
          <w:color w:val="000000"/>
        </w:rPr>
        <w:t>组件分析：基于</w:t>
      </w:r>
      <w:r>
        <w:rPr>
          <w:rFonts w:hint="eastAsia"/>
          <w:color w:val="000000"/>
          <w:lang w:val="en-US" w:eastAsia="zh-CN"/>
        </w:rPr>
        <w:t>软件物料清单中关键</w:t>
      </w:r>
      <w:r>
        <w:rPr>
          <w:rFonts w:hint="eastAsia"/>
          <w:color w:val="000000"/>
        </w:rPr>
        <w:t>组件</w:t>
      </w:r>
      <w:r>
        <w:rPr>
          <w:rFonts w:hint="eastAsia"/>
          <w:color w:val="000000"/>
          <w:lang w:val="en-US" w:eastAsia="zh-CN"/>
        </w:rPr>
        <w:t>情况</w:t>
      </w:r>
      <w:r>
        <w:rPr>
          <w:rFonts w:hint="eastAsia"/>
          <w:color w:val="000000"/>
        </w:rPr>
        <w:t>，</w:t>
      </w:r>
      <w:r>
        <w:rPr>
          <w:rFonts w:ascii="Times New Roman" w:hAnsi="Times New Roman" w:eastAsia="方正仿宋简体" w:cs="Times New Roman"/>
          <w:color w:val="000000"/>
          <w:sz w:val="30"/>
          <w:szCs w:val="20"/>
        </w:rPr>
        <w:t>对平台中符合自主可控要求的组件比例进行量化评估</w:t>
      </w:r>
      <w:r>
        <w:rPr>
          <w:rFonts w:hint="eastAsia"/>
          <w:color w:val="000000"/>
        </w:rPr>
        <w:t>。</w:t>
      </w:r>
    </w:p>
    <w:p w14:paraId="6C0CF5AF">
      <w:pPr>
        <w:pStyle w:val="2"/>
        <w:numPr>
          <w:ilvl w:val="0"/>
          <w:numId w:val="1"/>
        </w:numPr>
        <w:ind w:left="0" w:leftChars="0" w:firstLine="0" w:firstLineChars="0"/>
        <w:outlineLvl w:val="0"/>
        <w:rPr>
          <w:rStyle w:val="10"/>
          <w:rFonts w:hint="eastAsia" w:ascii="黑体" w:hAnsi="黑体" w:eastAsia="黑体" w:cs="黑体"/>
          <w:b w:val="0"/>
          <w:bCs w:val="0"/>
          <w:i w:val="0"/>
          <w:caps w:val="0"/>
          <w:color w:val="0F1115"/>
          <w:spacing w:val="0"/>
          <w:sz w:val="30"/>
          <w:szCs w:val="30"/>
          <w:shd w:val="clear" w:color="auto" w:fill="FFFFFF"/>
        </w:rPr>
      </w:pPr>
      <w:r>
        <w:rPr>
          <w:rStyle w:val="10"/>
          <w:rFonts w:hint="eastAsia" w:ascii="黑体" w:hAnsi="黑体" w:eastAsia="黑体" w:cs="黑体"/>
          <w:b w:val="0"/>
          <w:bCs w:val="0"/>
          <w:i w:val="0"/>
          <w:caps w:val="0"/>
          <w:color w:val="0F1115"/>
          <w:spacing w:val="0"/>
          <w:sz w:val="30"/>
          <w:szCs w:val="30"/>
          <w:shd w:val="clear" w:color="auto" w:fill="FFFFFF"/>
        </w:rPr>
        <w:t>测试核心</w:t>
      </w:r>
      <w:r>
        <w:rPr>
          <w:rStyle w:val="10"/>
          <w:rFonts w:hint="eastAsia" w:ascii="黑体" w:hAnsi="黑体" w:eastAsia="黑体" w:cs="黑体"/>
          <w:b w:val="0"/>
          <w:bCs w:val="0"/>
          <w:i w:val="0"/>
          <w:caps w:val="0"/>
          <w:color w:val="0F1115"/>
          <w:spacing w:val="0"/>
          <w:sz w:val="30"/>
          <w:szCs w:val="30"/>
          <w:shd w:val="clear" w:color="auto" w:fill="FFFFFF"/>
          <w:lang w:val="en-US" w:eastAsia="zh-CN"/>
        </w:rPr>
        <w:t>内容</w:t>
      </w:r>
    </w:p>
    <w:p w14:paraId="54ED9BC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00" w:firstLineChars="200"/>
        <w:textAlignment w:val="baseline"/>
        <w:rPr>
          <w:rFonts w:hint="eastAsia" w:ascii="方正仿宋简体" w:hAnsi="方正仿宋简体" w:cs="方正仿宋简体"/>
          <w:kern w:val="2"/>
          <w:sz w:val="30"/>
          <w:szCs w:val="30"/>
          <w:lang w:val="en-US" w:eastAsia="zh-CN" w:bidi="ar-SA"/>
        </w:rPr>
      </w:pPr>
      <w:r>
        <w:rPr>
          <w:rFonts w:hint="eastAsia" w:ascii="方正仿宋简体" w:hAnsi="方正仿宋简体" w:eastAsia="方正仿宋简体" w:cs="方正仿宋简体"/>
          <w:kern w:val="2"/>
          <w:sz w:val="30"/>
          <w:szCs w:val="30"/>
          <w:lang w:val="en-US" w:eastAsia="zh-CN" w:bidi="ar-SA"/>
        </w:rPr>
        <w:t>本次测评主要包括</w:t>
      </w:r>
      <w:r>
        <w:rPr>
          <w:rFonts w:hint="eastAsia" w:ascii="方正仿宋简体" w:hAnsi="方正仿宋简体" w:cs="方正仿宋简体"/>
          <w:kern w:val="2"/>
          <w:sz w:val="30"/>
          <w:szCs w:val="30"/>
          <w:lang w:val="en-US" w:eastAsia="zh-CN" w:bidi="ar-SA"/>
        </w:rPr>
        <w:t>：</w:t>
      </w:r>
      <w:r>
        <w:rPr>
          <w:rFonts w:hint="eastAsia" w:ascii="方正仿宋简体" w:hAnsi="方正仿宋简体" w:eastAsia="方正仿宋简体" w:cs="方正仿宋简体"/>
          <w:kern w:val="2"/>
          <w:sz w:val="30"/>
          <w:szCs w:val="30"/>
          <w:lang w:val="en-US" w:eastAsia="zh-CN" w:bidi="ar-SA"/>
        </w:rPr>
        <w:t>国资监管主系统、“三重一大”监管系统、改革三年行动在线督办系统、监督追责管理系统、企业组织机构基本信息管理系统、节能综合管理系统、党建管理系统等7个系统。</w:t>
      </w:r>
      <w:r>
        <w:rPr>
          <w:rFonts w:hint="eastAsia" w:ascii="方正仿宋简体" w:hAnsi="方正仿宋简体" w:cs="方正仿宋简体"/>
          <w:kern w:val="2"/>
          <w:sz w:val="30"/>
          <w:szCs w:val="30"/>
          <w:lang w:val="en-US" w:eastAsia="zh-CN" w:bidi="ar-SA"/>
        </w:rPr>
        <w:t>核心资源详见下表：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3900"/>
        <w:gridCol w:w="1857"/>
        <w:gridCol w:w="1816"/>
      </w:tblGrid>
      <w:tr w14:paraId="6EAB8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top"/>
          </w:tcPr>
          <w:p w14:paraId="67EDDF34">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baseline"/>
              <w:rPr>
                <w:rFonts w:hint="default" w:ascii="方正仿宋简体" w:hAnsi="方正仿宋简体" w:cs="方正仿宋简体"/>
                <w:kern w:val="2"/>
                <w:sz w:val="30"/>
                <w:szCs w:val="30"/>
                <w:vertAlign w:val="baseline"/>
                <w:lang w:val="en-US" w:eastAsia="zh-CN" w:bidi="ar-SA"/>
              </w:rPr>
            </w:pPr>
            <w:r>
              <w:rPr>
                <w:rFonts w:hint="eastAsia" w:ascii="方正仿宋简体" w:hAnsi="方正仿宋简体" w:cs="方正仿宋简体"/>
                <w:kern w:val="2"/>
                <w:sz w:val="30"/>
                <w:szCs w:val="30"/>
                <w:vertAlign w:val="baseline"/>
                <w:lang w:val="en-US" w:eastAsia="zh-CN" w:bidi="ar-SA"/>
              </w:rPr>
              <w:t>序号</w:t>
            </w:r>
          </w:p>
        </w:tc>
        <w:tc>
          <w:tcPr>
            <w:tcW w:w="3900" w:type="dxa"/>
            <w:noWrap w:val="0"/>
            <w:vAlign w:val="top"/>
          </w:tcPr>
          <w:p w14:paraId="74D95997">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baseline"/>
              <w:rPr>
                <w:rFonts w:hint="default" w:ascii="方正仿宋简体" w:hAnsi="方正仿宋简体" w:cs="方正仿宋简体"/>
                <w:kern w:val="2"/>
                <w:sz w:val="30"/>
                <w:szCs w:val="30"/>
                <w:vertAlign w:val="baseline"/>
                <w:lang w:val="en-US" w:eastAsia="zh-CN" w:bidi="ar-SA"/>
              </w:rPr>
            </w:pPr>
            <w:r>
              <w:rPr>
                <w:rFonts w:hint="eastAsia" w:ascii="方正仿宋简体" w:hAnsi="方正仿宋简体" w:cs="方正仿宋简体"/>
                <w:kern w:val="2"/>
                <w:sz w:val="30"/>
                <w:szCs w:val="30"/>
                <w:vertAlign w:val="baseline"/>
                <w:lang w:val="en-US" w:eastAsia="zh-CN" w:bidi="ar-SA"/>
              </w:rPr>
              <w:t>系统名称</w:t>
            </w:r>
          </w:p>
        </w:tc>
        <w:tc>
          <w:tcPr>
            <w:tcW w:w="1857" w:type="dxa"/>
            <w:noWrap w:val="0"/>
            <w:vAlign w:val="top"/>
          </w:tcPr>
          <w:p w14:paraId="08E1B69D">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baseline"/>
              <w:rPr>
                <w:rFonts w:hint="default" w:ascii="方正仿宋简体" w:hAnsi="方正仿宋简体" w:cs="方正仿宋简体"/>
                <w:kern w:val="2"/>
                <w:sz w:val="30"/>
                <w:szCs w:val="30"/>
                <w:vertAlign w:val="baseline"/>
                <w:lang w:val="en-US" w:eastAsia="zh-CN" w:bidi="ar-SA"/>
              </w:rPr>
            </w:pPr>
            <w:r>
              <w:rPr>
                <w:rFonts w:hint="eastAsia" w:ascii="方正仿宋简体" w:hAnsi="方正仿宋简体" w:cs="方正仿宋简体"/>
                <w:kern w:val="2"/>
                <w:sz w:val="30"/>
                <w:szCs w:val="30"/>
                <w:vertAlign w:val="baseline"/>
                <w:lang w:val="en-US" w:eastAsia="zh-CN" w:bidi="ar-SA"/>
              </w:rPr>
              <w:t>服务器数量</w:t>
            </w:r>
          </w:p>
        </w:tc>
        <w:tc>
          <w:tcPr>
            <w:tcW w:w="1816" w:type="dxa"/>
            <w:noWrap w:val="0"/>
            <w:vAlign w:val="top"/>
          </w:tcPr>
          <w:p w14:paraId="687AE02C">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baseline"/>
              <w:rPr>
                <w:rFonts w:hint="default" w:ascii="方正仿宋简体" w:hAnsi="方正仿宋简体" w:cs="方正仿宋简体"/>
                <w:kern w:val="2"/>
                <w:sz w:val="30"/>
                <w:szCs w:val="30"/>
                <w:vertAlign w:val="baseline"/>
                <w:lang w:val="en-US" w:eastAsia="zh-CN" w:bidi="ar-SA"/>
              </w:rPr>
            </w:pPr>
            <w:r>
              <w:rPr>
                <w:rFonts w:hint="eastAsia" w:ascii="方正仿宋简体" w:hAnsi="方正仿宋简体" w:cs="方正仿宋简体"/>
                <w:kern w:val="2"/>
                <w:sz w:val="30"/>
                <w:szCs w:val="30"/>
                <w:vertAlign w:val="baseline"/>
                <w:lang w:val="en-US" w:eastAsia="zh-CN" w:bidi="ar-SA"/>
              </w:rPr>
              <w:t>数据库数量</w:t>
            </w:r>
          </w:p>
        </w:tc>
      </w:tr>
      <w:tr w14:paraId="5FDFD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top"/>
          </w:tcPr>
          <w:p w14:paraId="54E8879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default" w:ascii="Times New Roman" w:hAnsi="Times New Roman" w:cs="Times New Roman"/>
                <w:kern w:val="2"/>
                <w:sz w:val="24"/>
                <w:szCs w:val="24"/>
                <w:vertAlign w:val="baseline"/>
                <w:lang w:val="en-US" w:eastAsia="zh-CN" w:bidi="ar-SA"/>
              </w:rPr>
            </w:pPr>
            <w:r>
              <w:rPr>
                <w:rFonts w:hint="default" w:ascii="Times New Roman" w:hAnsi="Times New Roman" w:cs="Times New Roman"/>
                <w:kern w:val="2"/>
                <w:sz w:val="24"/>
                <w:szCs w:val="24"/>
                <w:vertAlign w:val="baseline"/>
                <w:lang w:val="en-US" w:eastAsia="zh-CN" w:bidi="ar-SA"/>
              </w:rPr>
              <w:t>1</w:t>
            </w:r>
          </w:p>
        </w:tc>
        <w:tc>
          <w:tcPr>
            <w:tcW w:w="3900" w:type="dxa"/>
            <w:noWrap w:val="0"/>
            <w:vAlign w:val="top"/>
          </w:tcPr>
          <w:p w14:paraId="0C29E62A">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default" w:ascii="方正仿宋简体" w:hAnsi="方正仿宋简体" w:cs="方正仿宋简体"/>
                <w:kern w:val="2"/>
                <w:sz w:val="24"/>
                <w:szCs w:val="24"/>
                <w:vertAlign w:val="baseline"/>
                <w:lang w:val="en-US" w:eastAsia="zh-CN" w:bidi="ar-SA"/>
              </w:rPr>
            </w:pPr>
            <w:r>
              <w:rPr>
                <w:rFonts w:hint="eastAsia" w:ascii="方正仿宋简体" w:hAnsi="方正仿宋简体" w:cs="方正仿宋简体"/>
                <w:kern w:val="2"/>
                <w:sz w:val="24"/>
                <w:szCs w:val="24"/>
                <w:vertAlign w:val="baseline"/>
                <w:lang w:val="en-US" w:eastAsia="zh-CN" w:bidi="ar-SA"/>
              </w:rPr>
              <w:t>国资监管主系统</w:t>
            </w:r>
          </w:p>
        </w:tc>
        <w:tc>
          <w:tcPr>
            <w:tcW w:w="1857" w:type="dxa"/>
            <w:noWrap w:val="0"/>
            <w:vAlign w:val="top"/>
          </w:tcPr>
          <w:p w14:paraId="4834CE7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baseline"/>
              <w:rPr>
                <w:rFonts w:hint="default" w:ascii="Times New Roman" w:hAnsi="Times New Roman" w:cs="Times New Roman"/>
                <w:kern w:val="2"/>
                <w:sz w:val="24"/>
                <w:szCs w:val="24"/>
                <w:vertAlign w:val="baseline"/>
                <w:lang w:val="en-US" w:eastAsia="zh-CN" w:bidi="ar-SA"/>
              </w:rPr>
            </w:pPr>
            <w:r>
              <w:rPr>
                <w:rFonts w:hint="default" w:ascii="Times New Roman" w:hAnsi="Times New Roman" w:cs="Times New Roman"/>
                <w:kern w:val="2"/>
                <w:sz w:val="24"/>
                <w:szCs w:val="24"/>
                <w:vertAlign w:val="baseline"/>
                <w:lang w:val="en-US" w:eastAsia="zh-CN" w:bidi="ar-SA"/>
              </w:rPr>
              <w:t>20</w:t>
            </w:r>
          </w:p>
        </w:tc>
        <w:tc>
          <w:tcPr>
            <w:tcW w:w="1816" w:type="dxa"/>
            <w:noWrap w:val="0"/>
            <w:vAlign w:val="top"/>
          </w:tcPr>
          <w:p w14:paraId="7822BF35">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baseline"/>
              <w:rPr>
                <w:rFonts w:hint="default" w:ascii="Times New Roman" w:hAnsi="Times New Roman" w:cs="Times New Roman"/>
                <w:kern w:val="2"/>
                <w:sz w:val="24"/>
                <w:szCs w:val="24"/>
                <w:vertAlign w:val="baseline"/>
                <w:lang w:val="en-US" w:eastAsia="zh-CN" w:bidi="ar-SA"/>
              </w:rPr>
            </w:pPr>
            <w:r>
              <w:rPr>
                <w:rFonts w:hint="default" w:ascii="Times New Roman" w:hAnsi="Times New Roman" w:cs="Times New Roman"/>
                <w:kern w:val="2"/>
                <w:sz w:val="24"/>
                <w:szCs w:val="24"/>
                <w:vertAlign w:val="baseline"/>
                <w:lang w:val="en-US" w:eastAsia="zh-CN" w:bidi="ar-SA"/>
              </w:rPr>
              <w:t>7</w:t>
            </w:r>
          </w:p>
        </w:tc>
      </w:tr>
      <w:tr w14:paraId="10059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top"/>
          </w:tcPr>
          <w:p w14:paraId="6FD213C6">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default" w:ascii="Times New Roman" w:hAnsi="Times New Roman" w:cs="Times New Roman"/>
                <w:kern w:val="2"/>
                <w:sz w:val="24"/>
                <w:szCs w:val="24"/>
                <w:vertAlign w:val="baseline"/>
                <w:lang w:val="en-US" w:eastAsia="zh-CN" w:bidi="ar-SA"/>
              </w:rPr>
            </w:pPr>
            <w:r>
              <w:rPr>
                <w:rFonts w:hint="default" w:ascii="Times New Roman" w:hAnsi="Times New Roman" w:cs="Times New Roman"/>
                <w:kern w:val="2"/>
                <w:sz w:val="24"/>
                <w:szCs w:val="24"/>
                <w:vertAlign w:val="baseline"/>
                <w:lang w:val="en-US" w:eastAsia="zh-CN" w:bidi="ar-SA"/>
              </w:rPr>
              <w:t>2</w:t>
            </w:r>
          </w:p>
        </w:tc>
        <w:tc>
          <w:tcPr>
            <w:tcW w:w="3900" w:type="dxa"/>
            <w:noWrap w:val="0"/>
            <w:vAlign w:val="top"/>
          </w:tcPr>
          <w:p w14:paraId="35727D5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default" w:ascii="方正仿宋简体" w:hAnsi="方正仿宋简体" w:cs="方正仿宋简体"/>
                <w:kern w:val="2"/>
                <w:sz w:val="24"/>
                <w:szCs w:val="24"/>
                <w:vertAlign w:val="baseline"/>
                <w:lang w:val="en-US" w:eastAsia="zh-CN" w:bidi="ar-SA"/>
              </w:rPr>
            </w:pPr>
            <w:r>
              <w:rPr>
                <w:rFonts w:hint="eastAsia" w:ascii="方正仿宋简体" w:hAnsi="方正仿宋简体" w:eastAsia="方正仿宋简体" w:cs="方正仿宋简体"/>
                <w:kern w:val="2"/>
                <w:sz w:val="24"/>
                <w:szCs w:val="24"/>
                <w:lang w:val="en-US" w:eastAsia="zh-CN" w:bidi="ar-SA"/>
              </w:rPr>
              <w:t>“三重一大”监管系统</w:t>
            </w:r>
          </w:p>
        </w:tc>
        <w:tc>
          <w:tcPr>
            <w:tcW w:w="1857" w:type="dxa"/>
            <w:noWrap w:val="0"/>
            <w:vAlign w:val="top"/>
          </w:tcPr>
          <w:p w14:paraId="1E41BF9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baseline"/>
              <w:rPr>
                <w:rFonts w:hint="default" w:ascii="Times New Roman" w:hAnsi="Times New Roman" w:cs="Times New Roman"/>
                <w:kern w:val="2"/>
                <w:sz w:val="24"/>
                <w:szCs w:val="24"/>
                <w:vertAlign w:val="baseline"/>
                <w:lang w:val="en-US" w:eastAsia="zh-CN" w:bidi="ar-SA"/>
              </w:rPr>
            </w:pPr>
            <w:r>
              <w:rPr>
                <w:rFonts w:hint="default" w:ascii="Times New Roman" w:hAnsi="Times New Roman" w:cs="Times New Roman"/>
                <w:kern w:val="2"/>
                <w:sz w:val="24"/>
                <w:szCs w:val="24"/>
                <w:vertAlign w:val="baseline"/>
                <w:lang w:val="en-US" w:eastAsia="zh-CN" w:bidi="ar-SA"/>
              </w:rPr>
              <w:t>2</w:t>
            </w:r>
          </w:p>
        </w:tc>
        <w:tc>
          <w:tcPr>
            <w:tcW w:w="1816" w:type="dxa"/>
            <w:noWrap w:val="0"/>
            <w:vAlign w:val="top"/>
          </w:tcPr>
          <w:p w14:paraId="1D5413D4">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baseline"/>
              <w:rPr>
                <w:rFonts w:hint="default" w:ascii="Times New Roman" w:hAnsi="Times New Roman" w:cs="Times New Roman"/>
                <w:kern w:val="2"/>
                <w:sz w:val="24"/>
                <w:szCs w:val="24"/>
                <w:vertAlign w:val="baseline"/>
                <w:lang w:val="en-US" w:eastAsia="zh-CN" w:bidi="ar-SA"/>
              </w:rPr>
            </w:pPr>
            <w:r>
              <w:rPr>
                <w:rFonts w:hint="default" w:ascii="Times New Roman" w:hAnsi="Times New Roman" w:cs="Times New Roman"/>
                <w:kern w:val="2"/>
                <w:sz w:val="24"/>
                <w:szCs w:val="24"/>
                <w:vertAlign w:val="baseline"/>
                <w:lang w:val="en-US" w:eastAsia="zh-CN" w:bidi="ar-SA"/>
              </w:rPr>
              <w:t>1</w:t>
            </w:r>
          </w:p>
        </w:tc>
      </w:tr>
      <w:tr w14:paraId="7278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top"/>
          </w:tcPr>
          <w:p w14:paraId="2A873CE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default" w:ascii="Times New Roman" w:hAnsi="Times New Roman" w:cs="Times New Roman"/>
                <w:kern w:val="2"/>
                <w:sz w:val="24"/>
                <w:szCs w:val="24"/>
                <w:vertAlign w:val="baseline"/>
                <w:lang w:val="en-US" w:eastAsia="zh-CN" w:bidi="ar-SA"/>
              </w:rPr>
            </w:pPr>
            <w:r>
              <w:rPr>
                <w:rFonts w:hint="default" w:ascii="Times New Roman" w:hAnsi="Times New Roman" w:cs="Times New Roman"/>
                <w:kern w:val="2"/>
                <w:sz w:val="24"/>
                <w:szCs w:val="24"/>
                <w:vertAlign w:val="baseline"/>
                <w:lang w:val="en-US" w:eastAsia="zh-CN" w:bidi="ar-SA"/>
              </w:rPr>
              <w:t>3</w:t>
            </w:r>
          </w:p>
        </w:tc>
        <w:tc>
          <w:tcPr>
            <w:tcW w:w="3900" w:type="dxa"/>
            <w:noWrap w:val="0"/>
            <w:vAlign w:val="top"/>
          </w:tcPr>
          <w:p w14:paraId="5BEA8291">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default" w:ascii="方正仿宋简体" w:hAnsi="方正仿宋简体" w:cs="方正仿宋简体"/>
                <w:kern w:val="2"/>
                <w:sz w:val="24"/>
                <w:szCs w:val="24"/>
                <w:vertAlign w:val="baseline"/>
                <w:lang w:val="en-US" w:eastAsia="zh-CN" w:bidi="ar-SA"/>
              </w:rPr>
            </w:pPr>
            <w:r>
              <w:rPr>
                <w:rFonts w:hint="eastAsia" w:ascii="方正仿宋简体" w:hAnsi="方正仿宋简体" w:eastAsia="方正仿宋简体" w:cs="方正仿宋简体"/>
                <w:kern w:val="2"/>
                <w:sz w:val="24"/>
                <w:szCs w:val="24"/>
                <w:lang w:val="en-US" w:eastAsia="zh-CN" w:bidi="ar-SA"/>
              </w:rPr>
              <w:t>改革三年行动在线督办系统</w:t>
            </w:r>
          </w:p>
        </w:tc>
        <w:tc>
          <w:tcPr>
            <w:tcW w:w="1857" w:type="dxa"/>
            <w:noWrap w:val="0"/>
            <w:vAlign w:val="top"/>
          </w:tcPr>
          <w:p w14:paraId="39149FE7">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baseline"/>
              <w:rPr>
                <w:rFonts w:hint="default" w:ascii="Times New Roman" w:hAnsi="Times New Roman" w:cs="Times New Roman"/>
                <w:kern w:val="2"/>
                <w:sz w:val="24"/>
                <w:szCs w:val="24"/>
                <w:vertAlign w:val="baseline"/>
                <w:lang w:val="en-US" w:eastAsia="zh-CN" w:bidi="ar-SA"/>
              </w:rPr>
            </w:pPr>
            <w:r>
              <w:rPr>
                <w:rFonts w:hint="default" w:ascii="Times New Roman" w:hAnsi="Times New Roman" w:cs="Times New Roman"/>
                <w:kern w:val="2"/>
                <w:sz w:val="24"/>
                <w:szCs w:val="24"/>
                <w:vertAlign w:val="baseline"/>
                <w:lang w:val="en-US" w:eastAsia="zh-CN" w:bidi="ar-SA"/>
              </w:rPr>
              <w:t>2</w:t>
            </w:r>
          </w:p>
        </w:tc>
        <w:tc>
          <w:tcPr>
            <w:tcW w:w="1816" w:type="dxa"/>
            <w:noWrap w:val="0"/>
            <w:vAlign w:val="top"/>
          </w:tcPr>
          <w:p w14:paraId="5AAEA4B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baseline"/>
              <w:rPr>
                <w:rFonts w:hint="default" w:ascii="Times New Roman" w:hAnsi="Times New Roman" w:cs="Times New Roman"/>
                <w:kern w:val="2"/>
                <w:sz w:val="24"/>
                <w:szCs w:val="24"/>
                <w:vertAlign w:val="baseline"/>
                <w:lang w:val="en-US" w:eastAsia="zh-CN" w:bidi="ar-SA"/>
              </w:rPr>
            </w:pPr>
            <w:r>
              <w:rPr>
                <w:rFonts w:hint="default" w:ascii="Times New Roman" w:hAnsi="Times New Roman" w:cs="Times New Roman"/>
                <w:kern w:val="2"/>
                <w:sz w:val="24"/>
                <w:szCs w:val="24"/>
                <w:vertAlign w:val="baseline"/>
                <w:lang w:val="en-US" w:eastAsia="zh-CN" w:bidi="ar-SA"/>
              </w:rPr>
              <w:t>1</w:t>
            </w:r>
          </w:p>
        </w:tc>
      </w:tr>
      <w:tr w14:paraId="3BC71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top"/>
          </w:tcPr>
          <w:p w14:paraId="436FD7F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default" w:ascii="Times New Roman" w:hAnsi="Times New Roman" w:cs="Times New Roman"/>
                <w:kern w:val="2"/>
                <w:sz w:val="24"/>
                <w:szCs w:val="24"/>
                <w:vertAlign w:val="baseline"/>
                <w:lang w:val="en-US" w:eastAsia="zh-CN" w:bidi="ar-SA"/>
              </w:rPr>
            </w:pPr>
            <w:r>
              <w:rPr>
                <w:rFonts w:hint="default" w:ascii="Times New Roman" w:hAnsi="Times New Roman" w:cs="Times New Roman"/>
                <w:kern w:val="2"/>
                <w:sz w:val="24"/>
                <w:szCs w:val="24"/>
                <w:vertAlign w:val="baseline"/>
                <w:lang w:val="en-US" w:eastAsia="zh-CN" w:bidi="ar-SA"/>
              </w:rPr>
              <w:t>4</w:t>
            </w:r>
          </w:p>
        </w:tc>
        <w:tc>
          <w:tcPr>
            <w:tcW w:w="3900" w:type="dxa"/>
            <w:noWrap w:val="0"/>
            <w:vAlign w:val="top"/>
          </w:tcPr>
          <w:p w14:paraId="1F487BA6">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default" w:ascii="方正仿宋简体" w:hAnsi="方正仿宋简体" w:cs="方正仿宋简体"/>
                <w:kern w:val="2"/>
                <w:sz w:val="24"/>
                <w:szCs w:val="24"/>
                <w:vertAlign w:val="baseline"/>
                <w:lang w:val="en-US" w:eastAsia="zh-CN" w:bidi="ar-SA"/>
              </w:rPr>
            </w:pPr>
            <w:r>
              <w:rPr>
                <w:rFonts w:hint="eastAsia" w:ascii="方正仿宋简体" w:hAnsi="方正仿宋简体" w:eastAsia="方正仿宋简体" w:cs="方正仿宋简体"/>
                <w:kern w:val="2"/>
                <w:sz w:val="24"/>
                <w:szCs w:val="24"/>
                <w:lang w:val="en-US" w:eastAsia="zh-CN" w:bidi="ar-SA"/>
              </w:rPr>
              <w:t>监督追责管理系统</w:t>
            </w:r>
          </w:p>
        </w:tc>
        <w:tc>
          <w:tcPr>
            <w:tcW w:w="1857" w:type="dxa"/>
            <w:noWrap w:val="0"/>
            <w:vAlign w:val="top"/>
          </w:tcPr>
          <w:p w14:paraId="74D26D26">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baseline"/>
              <w:rPr>
                <w:rFonts w:hint="default" w:ascii="Times New Roman" w:hAnsi="Times New Roman" w:cs="Times New Roman"/>
                <w:kern w:val="2"/>
                <w:sz w:val="24"/>
                <w:szCs w:val="24"/>
                <w:vertAlign w:val="baseline"/>
                <w:lang w:val="en-US" w:eastAsia="zh-CN" w:bidi="ar-SA"/>
              </w:rPr>
            </w:pPr>
            <w:r>
              <w:rPr>
                <w:rFonts w:hint="default" w:ascii="Times New Roman" w:hAnsi="Times New Roman" w:cs="Times New Roman"/>
                <w:kern w:val="2"/>
                <w:sz w:val="24"/>
                <w:szCs w:val="24"/>
                <w:vertAlign w:val="baseline"/>
                <w:lang w:val="en-US" w:eastAsia="zh-CN" w:bidi="ar-SA"/>
              </w:rPr>
              <w:t>2</w:t>
            </w:r>
          </w:p>
        </w:tc>
        <w:tc>
          <w:tcPr>
            <w:tcW w:w="1816" w:type="dxa"/>
            <w:noWrap w:val="0"/>
            <w:vAlign w:val="top"/>
          </w:tcPr>
          <w:p w14:paraId="6BF4ACDC">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baseline"/>
              <w:rPr>
                <w:rFonts w:hint="default" w:ascii="Times New Roman" w:hAnsi="Times New Roman" w:cs="Times New Roman"/>
                <w:kern w:val="2"/>
                <w:sz w:val="24"/>
                <w:szCs w:val="24"/>
                <w:vertAlign w:val="baseline"/>
                <w:lang w:val="en-US" w:eastAsia="zh-CN" w:bidi="ar-SA"/>
              </w:rPr>
            </w:pPr>
            <w:r>
              <w:rPr>
                <w:rFonts w:hint="default" w:ascii="Times New Roman" w:hAnsi="Times New Roman" w:cs="Times New Roman"/>
                <w:kern w:val="2"/>
                <w:sz w:val="24"/>
                <w:szCs w:val="24"/>
                <w:vertAlign w:val="baseline"/>
                <w:lang w:val="en-US" w:eastAsia="zh-CN" w:bidi="ar-SA"/>
              </w:rPr>
              <w:t>1</w:t>
            </w:r>
          </w:p>
        </w:tc>
      </w:tr>
      <w:tr w14:paraId="55FC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top"/>
          </w:tcPr>
          <w:p w14:paraId="55169A8D">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default" w:ascii="Times New Roman" w:hAnsi="Times New Roman" w:cs="Times New Roman"/>
                <w:kern w:val="2"/>
                <w:sz w:val="24"/>
                <w:szCs w:val="24"/>
                <w:vertAlign w:val="baseline"/>
                <w:lang w:val="en-US" w:eastAsia="zh-CN" w:bidi="ar-SA"/>
              </w:rPr>
            </w:pPr>
            <w:r>
              <w:rPr>
                <w:rFonts w:hint="default" w:ascii="Times New Roman" w:hAnsi="Times New Roman" w:cs="Times New Roman"/>
                <w:kern w:val="2"/>
                <w:sz w:val="24"/>
                <w:szCs w:val="24"/>
                <w:vertAlign w:val="baseline"/>
                <w:lang w:val="en-US" w:eastAsia="zh-CN" w:bidi="ar-SA"/>
              </w:rPr>
              <w:t>5</w:t>
            </w:r>
          </w:p>
        </w:tc>
        <w:tc>
          <w:tcPr>
            <w:tcW w:w="3900" w:type="dxa"/>
            <w:noWrap w:val="0"/>
            <w:vAlign w:val="top"/>
          </w:tcPr>
          <w:p w14:paraId="17A80FA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default" w:ascii="方正仿宋简体" w:hAnsi="方正仿宋简体" w:cs="方正仿宋简体"/>
                <w:kern w:val="2"/>
                <w:sz w:val="24"/>
                <w:szCs w:val="24"/>
                <w:vertAlign w:val="baseline"/>
                <w:lang w:val="en-US" w:eastAsia="zh-CN" w:bidi="ar-SA"/>
              </w:rPr>
            </w:pPr>
            <w:r>
              <w:rPr>
                <w:rFonts w:hint="eastAsia" w:ascii="方正仿宋简体" w:hAnsi="方正仿宋简体" w:eastAsia="方正仿宋简体" w:cs="方正仿宋简体"/>
                <w:kern w:val="2"/>
                <w:sz w:val="24"/>
                <w:szCs w:val="24"/>
                <w:lang w:val="en-US" w:eastAsia="zh-CN" w:bidi="ar-SA"/>
              </w:rPr>
              <w:t>企业组织机构基本信息管理系统</w:t>
            </w:r>
          </w:p>
        </w:tc>
        <w:tc>
          <w:tcPr>
            <w:tcW w:w="1857" w:type="dxa"/>
            <w:noWrap w:val="0"/>
            <w:vAlign w:val="top"/>
          </w:tcPr>
          <w:p w14:paraId="445FFC01">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baseline"/>
              <w:rPr>
                <w:rFonts w:hint="default" w:ascii="Times New Roman" w:hAnsi="Times New Roman" w:cs="Times New Roman"/>
                <w:kern w:val="2"/>
                <w:sz w:val="24"/>
                <w:szCs w:val="24"/>
                <w:vertAlign w:val="baseline"/>
                <w:lang w:val="en-US" w:eastAsia="zh-CN" w:bidi="ar-SA"/>
              </w:rPr>
            </w:pPr>
            <w:r>
              <w:rPr>
                <w:rFonts w:hint="default" w:ascii="Times New Roman" w:hAnsi="Times New Roman" w:cs="Times New Roman"/>
                <w:kern w:val="2"/>
                <w:sz w:val="24"/>
                <w:szCs w:val="24"/>
                <w:vertAlign w:val="baseline"/>
                <w:lang w:val="en-US" w:eastAsia="zh-CN" w:bidi="ar-SA"/>
              </w:rPr>
              <w:t>2</w:t>
            </w:r>
          </w:p>
        </w:tc>
        <w:tc>
          <w:tcPr>
            <w:tcW w:w="1816" w:type="dxa"/>
            <w:noWrap w:val="0"/>
            <w:vAlign w:val="top"/>
          </w:tcPr>
          <w:p w14:paraId="3AA36768">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baseline"/>
              <w:rPr>
                <w:rFonts w:hint="default" w:ascii="Times New Roman" w:hAnsi="Times New Roman" w:cs="Times New Roman"/>
                <w:kern w:val="2"/>
                <w:sz w:val="24"/>
                <w:szCs w:val="24"/>
                <w:vertAlign w:val="baseline"/>
                <w:lang w:val="en-US" w:eastAsia="zh-CN" w:bidi="ar-SA"/>
              </w:rPr>
            </w:pPr>
            <w:r>
              <w:rPr>
                <w:rFonts w:hint="default" w:ascii="Times New Roman" w:hAnsi="Times New Roman" w:cs="Times New Roman"/>
                <w:kern w:val="2"/>
                <w:sz w:val="24"/>
                <w:szCs w:val="24"/>
                <w:vertAlign w:val="baseline"/>
                <w:lang w:val="en-US" w:eastAsia="zh-CN" w:bidi="ar-SA"/>
              </w:rPr>
              <w:t>1</w:t>
            </w:r>
          </w:p>
        </w:tc>
      </w:tr>
      <w:tr w14:paraId="69FDE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top"/>
          </w:tcPr>
          <w:p w14:paraId="02C71C86">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default" w:ascii="Times New Roman" w:hAnsi="Times New Roman" w:cs="Times New Roman"/>
                <w:kern w:val="2"/>
                <w:sz w:val="24"/>
                <w:szCs w:val="24"/>
                <w:vertAlign w:val="baseline"/>
                <w:lang w:val="en-US" w:eastAsia="zh-CN" w:bidi="ar-SA"/>
              </w:rPr>
            </w:pPr>
            <w:r>
              <w:rPr>
                <w:rFonts w:hint="default" w:ascii="Times New Roman" w:hAnsi="Times New Roman" w:cs="Times New Roman"/>
                <w:kern w:val="2"/>
                <w:sz w:val="24"/>
                <w:szCs w:val="24"/>
                <w:vertAlign w:val="baseline"/>
                <w:lang w:val="en-US" w:eastAsia="zh-CN" w:bidi="ar-SA"/>
              </w:rPr>
              <w:t>6</w:t>
            </w:r>
          </w:p>
        </w:tc>
        <w:tc>
          <w:tcPr>
            <w:tcW w:w="3900" w:type="dxa"/>
            <w:noWrap w:val="0"/>
            <w:vAlign w:val="top"/>
          </w:tcPr>
          <w:p w14:paraId="293791D5">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default" w:ascii="方正仿宋简体" w:hAnsi="方正仿宋简体" w:cs="方正仿宋简体"/>
                <w:kern w:val="2"/>
                <w:sz w:val="24"/>
                <w:szCs w:val="24"/>
                <w:vertAlign w:val="baseline"/>
                <w:lang w:val="en-US" w:eastAsia="zh-CN" w:bidi="ar-SA"/>
              </w:rPr>
            </w:pPr>
            <w:r>
              <w:rPr>
                <w:rFonts w:hint="eastAsia" w:ascii="方正仿宋简体" w:hAnsi="方正仿宋简体" w:eastAsia="方正仿宋简体" w:cs="方正仿宋简体"/>
                <w:kern w:val="2"/>
                <w:sz w:val="24"/>
                <w:szCs w:val="24"/>
                <w:lang w:val="en-US" w:eastAsia="zh-CN" w:bidi="ar-SA"/>
              </w:rPr>
              <w:t>节能综合管理系统</w:t>
            </w:r>
          </w:p>
        </w:tc>
        <w:tc>
          <w:tcPr>
            <w:tcW w:w="1857" w:type="dxa"/>
            <w:noWrap w:val="0"/>
            <w:vAlign w:val="top"/>
          </w:tcPr>
          <w:p w14:paraId="3C54DFB8">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baseline"/>
              <w:rPr>
                <w:rFonts w:hint="default" w:ascii="Times New Roman" w:hAnsi="Times New Roman" w:cs="Times New Roman"/>
                <w:kern w:val="2"/>
                <w:sz w:val="24"/>
                <w:szCs w:val="24"/>
                <w:vertAlign w:val="baseline"/>
                <w:lang w:val="en-US" w:eastAsia="zh-CN" w:bidi="ar-SA"/>
              </w:rPr>
            </w:pPr>
            <w:r>
              <w:rPr>
                <w:rFonts w:hint="default" w:ascii="Times New Roman" w:hAnsi="Times New Roman" w:cs="Times New Roman"/>
                <w:kern w:val="2"/>
                <w:sz w:val="24"/>
                <w:szCs w:val="24"/>
                <w:vertAlign w:val="baseline"/>
                <w:lang w:val="en-US" w:eastAsia="zh-CN" w:bidi="ar-SA"/>
              </w:rPr>
              <w:t>15</w:t>
            </w:r>
            <w:r>
              <w:rPr>
                <w:rFonts w:hint="eastAsia" w:ascii="Times New Roman" w:hAnsi="Times New Roman" w:cs="Times New Roman"/>
                <w:kern w:val="2"/>
                <w:sz w:val="24"/>
                <w:szCs w:val="24"/>
                <w:vertAlign w:val="baseline"/>
                <w:lang w:val="en-US" w:eastAsia="zh-CN" w:bidi="ar-SA"/>
              </w:rPr>
              <w:t>（容器化）</w:t>
            </w:r>
          </w:p>
        </w:tc>
        <w:tc>
          <w:tcPr>
            <w:tcW w:w="1816" w:type="dxa"/>
            <w:noWrap w:val="0"/>
            <w:vAlign w:val="top"/>
          </w:tcPr>
          <w:p w14:paraId="16A835C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baseline"/>
              <w:rPr>
                <w:rFonts w:hint="default" w:ascii="Times New Roman" w:hAnsi="Times New Roman" w:cs="Times New Roman"/>
                <w:kern w:val="2"/>
                <w:sz w:val="24"/>
                <w:szCs w:val="24"/>
                <w:vertAlign w:val="baseline"/>
                <w:lang w:val="en-US" w:eastAsia="zh-CN" w:bidi="ar-SA"/>
              </w:rPr>
            </w:pPr>
            <w:r>
              <w:rPr>
                <w:rFonts w:hint="default" w:ascii="Times New Roman" w:hAnsi="Times New Roman" w:cs="Times New Roman"/>
                <w:kern w:val="2"/>
                <w:sz w:val="24"/>
                <w:szCs w:val="24"/>
                <w:vertAlign w:val="baseline"/>
                <w:lang w:val="en-US" w:eastAsia="zh-CN" w:bidi="ar-SA"/>
              </w:rPr>
              <w:t>2</w:t>
            </w:r>
          </w:p>
        </w:tc>
      </w:tr>
      <w:tr w14:paraId="3468F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noWrap w:val="0"/>
            <w:vAlign w:val="top"/>
          </w:tcPr>
          <w:p w14:paraId="7DC129DA">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default" w:ascii="Times New Roman" w:hAnsi="Times New Roman" w:cs="Times New Roman"/>
                <w:kern w:val="2"/>
                <w:sz w:val="24"/>
                <w:szCs w:val="24"/>
                <w:vertAlign w:val="baseline"/>
                <w:lang w:val="en-US" w:eastAsia="zh-CN" w:bidi="ar-SA"/>
              </w:rPr>
            </w:pPr>
            <w:r>
              <w:rPr>
                <w:rFonts w:hint="default" w:ascii="Times New Roman" w:hAnsi="Times New Roman" w:cs="Times New Roman"/>
                <w:kern w:val="2"/>
                <w:sz w:val="24"/>
                <w:szCs w:val="24"/>
                <w:vertAlign w:val="baseline"/>
                <w:lang w:val="en-US" w:eastAsia="zh-CN" w:bidi="ar-SA"/>
              </w:rPr>
              <w:t>7</w:t>
            </w:r>
          </w:p>
        </w:tc>
        <w:tc>
          <w:tcPr>
            <w:tcW w:w="3900" w:type="dxa"/>
            <w:noWrap w:val="0"/>
            <w:vAlign w:val="top"/>
          </w:tcPr>
          <w:p w14:paraId="5D97F83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default" w:ascii="方正仿宋简体" w:hAnsi="方正仿宋简体" w:cs="方正仿宋简体"/>
                <w:kern w:val="2"/>
                <w:sz w:val="24"/>
                <w:szCs w:val="24"/>
                <w:vertAlign w:val="baseline"/>
                <w:lang w:val="en-US" w:eastAsia="zh-CN" w:bidi="ar-SA"/>
              </w:rPr>
            </w:pPr>
            <w:r>
              <w:rPr>
                <w:rFonts w:hint="eastAsia" w:ascii="方正仿宋简体" w:hAnsi="方正仿宋简体" w:eastAsia="方正仿宋简体" w:cs="方正仿宋简体"/>
                <w:kern w:val="2"/>
                <w:sz w:val="24"/>
                <w:szCs w:val="24"/>
                <w:lang w:val="en-US" w:eastAsia="zh-CN" w:bidi="ar-SA"/>
              </w:rPr>
              <w:t>党建管理系统</w:t>
            </w:r>
          </w:p>
        </w:tc>
        <w:tc>
          <w:tcPr>
            <w:tcW w:w="1857" w:type="dxa"/>
            <w:noWrap w:val="0"/>
            <w:vAlign w:val="top"/>
          </w:tcPr>
          <w:p w14:paraId="468DEF4D">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baseline"/>
              <w:rPr>
                <w:rFonts w:hint="default" w:ascii="Times New Roman" w:hAnsi="Times New Roman" w:cs="Times New Roman"/>
                <w:kern w:val="2"/>
                <w:sz w:val="24"/>
                <w:szCs w:val="24"/>
                <w:vertAlign w:val="baseline"/>
                <w:lang w:val="en-US" w:eastAsia="zh-CN" w:bidi="ar-SA"/>
              </w:rPr>
            </w:pPr>
            <w:r>
              <w:rPr>
                <w:rFonts w:hint="default" w:ascii="Times New Roman" w:hAnsi="Times New Roman" w:cs="Times New Roman"/>
                <w:kern w:val="2"/>
                <w:sz w:val="24"/>
                <w:szCs w:val="24"/>
                <w:vertAlign w:val="baseline"/>
                <w:lang w:val="en-US" w:eastAsia="zh-CN" w:bidi="ar-SA"/>
              </w:rPr>
              <w:t>32</w:t>
            </w:r>
            <w:r>
              <w:rPr>
                <w:rFonts w:hint="eastAsia" w:ascii="Times New Roman" w:hAnsi="Times New Roman" w:cs="Times New Roman"/>
                <w:kern w:val="2"/>
                <w:sz w:val="24"/>
                <w:szCs w:val="24"/>
                <w:vertAlign w:val="baseline"/>
                <w:lang w:val="en-US" w:eastAsia="zh-CN" w:bidi="ar-SA"/>
              </w:rPr>
              <w:t>（容器化）</w:t>
            </w:r>
          </w:p>
        </w:tc>
        <w:tc>
          <w:tcPr>
            <w:tcW w:w="1816" w:type="dxa"/>
            <w:noWrap w:val="0"/>
            <w:vAlign w:val="top"/>
          </w:tcPr>
          <w:p w14:paraId="27FFD4C1">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baseline"/>
              <w:rPr>
                <w:rFonts w:hint="default" w:ascii="Times New Roman" w:hAnsi="Times New Roman" w:cs="Times New Roman"/>
                <w:kern w:val="2"/>
                <w:sz w:val="24"/>
                <w:szCs w:val="24"/>
                <w:vertAlign w:val="baseline"/>
                <w:lang w:val="en-US" w:eastAsia="zh-CN" w:bidi="ar-SA"/>
              </w:rPr>
            </w:pPr>
            <w:r>
              <w:rPr>
                <w:rFonts w:hint="default" w:ascii="Times New Roman" w:hAnsi="Times New Roman" w:cs="Times New Roman"/>
                <w:kern w:val="2"/>
                <w:sz w:val="24"/>
                <w:szCs w:val="24"/>
                <w:vertAlign w:val="baseline"/>
                <w:lang w:val="en-US" w:eastAsia="zh-CN" w:bidi="ar-SA"/>
              </w:rPr>
              <w:t>2</w:t>
            </w:r>
          </w:p>
        </w:tc>
      </w:tr>
    </w:tbl>
    <w:p w14:paraId="1CD7CB97">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480" w:firstLineChars="200"/>
        <w:textAlignment w:val="baseline"/>
        <w:rPr>
          <w:rFonts w:hint="eastAsia" w:ascii="方正仿宋简体" w:hAnsi="方正仿宋简体" w:cs="方正仿宋简体"/>
          <w:kern w:val="2"/>
          <w:sz w:val="24"/>
          <w:szCs w:val="24"/>
          <w:lang w:val="en-US" w:eastAsia="zh-CN" w:bidi="ar-SA"/>
        </w:rPr>
      </w:pPr>
      <w:r>
        <w:rPr>
          <w:rFonts w:hint="eastAsia" w:ascii="方正仿宋简体" w:hAnsi="方正仿宋简体" w:cs="方正仿宋简体"/>
          <w:kern w:val="2"/>
          <w:sz w:val="24"/>
          <w:szCs w:val="24"/>
          <w:lang w:val="en-US" w:eastAsia="zh-CN" w:bidi="ar-SA"/>
        </w:rPr>
        <w:t>关键功能详见下表：</w:t>
      </w:r>
    </w:p>
    <w:tbl>
      <w:tblPr>
        <w:tblStyle w:val="7"/>
        <w:tblW w:w="89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167"/>
        <w:gridCol w:w="2056"/>
        <w:gridCol w:w="4694"/>
      </w:tblGrid>
      <w:tr w14:paraId="255AC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E0F8CE7">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业务系统</w:t>
            </w: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1E065FD">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模块</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932B771">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说明</w:t>
            </w:r>
          </w:p>
        </w:tc>
      </w:tr>
      <w:tr w14:paraId="4FAE8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2167" w:type="dxa"/>
            <w:vMerge w:val="restar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C8A2276">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国资监管主系统</w:t>
            </w: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94E075C">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数据填报</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D377524">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实现国资委监管任务及各项管理任务的填报、汇总、审核、审批等功能</w:t>
            </w:r>
          </w:p>
        </w:tc>
      </w:tr>
      <w:tr w14:paraId="6791E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718BC2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7BF2F5C">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综合查询</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0953D3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用于各项填报任务的关键数据查询及模板配置</w:t>
            </w:r>
          </w:p>
        </w:tc>
      </w:tr>
      <w:tr w14:paraId="050E6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CC70928">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2BCCC4C">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国资交换</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BDA0C7A">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实现监管任务数据的加密及上报国资委功能</w:t>
            </w:r>
          </w:p>
        </w:tc>
      </w:tr>
      <w:tr w14:paraId="4D154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270284D">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E1CAAA4">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参数管理</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0513031">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监管任务及报表配置管理</w:t>
            </w:r>
          </w:p>
        </w:tc>
      </w:tr>
      <w:tr w14:paraId="2B930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1A0FE1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5ED5824">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公式管理</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288F19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设置审核公式，保障数据的逻辑性及完整性</w:t>
            </w:r>
          </w:p>
        </w:tc>
      </w:tr>
      <w:tr w14:paraId="059A0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4E688F8">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2639A7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监管指标管理</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C94C04C">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展示国资监管数据，支持浏览库表、维度、Cube、指标方案、文件信息资源。默认按主题域-目录-信息资源树形展示。支持查看信息资源数据图谱时定位到数据资源中。</w:t>
            </w:r>
          </w:p>
        </w:tc>
      </w:tr>
      <w:tr w14:paraId="39932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B842B38">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4F19494">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数据分析</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27CFBA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提供折线直方图、饼图、堆积图、仪表盘、仿杜邦图、雷达分析图、数据地图等图形形式，基于国资监管数据，开发各类驾驶舱及仪表盘。包括资金监管、经营分析、生产运营、移动端等可视化界面。</w:t>
            </w:r>
          </w:p>
        </w:tc>
      </w:tr>
      <w:tr w14:paraId="354FC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restar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BAE7F4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方正仿宋简体" w:hAnsi="方正仿宋简体" w:eastAsia="方正仿宋简体" w:cs="方正仿宋简体"/>
                <w:kern w:val="2"/>
                <w:sz w:val="24"/>
                <w:szCs w:val="24"/>
                <w:lang w:val="en-US" w:eastAsia="zh-CN" w:bidi="ar-SA"/>
              </w:rPr>
              <w:t>“三重一大”监管系统</w:t>
            </w: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9CE6BC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我的任务</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6E114D7">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根据人员角色不同，审核人员可以在我的待办里面查看待审批的单据</w:t>
            </w:r>
          </w:p>
        </w:tc>
      </w:tr>
      <w:tr w14:paraId="00271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F885B3D">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7AB991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人员管理</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221C4B1">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提报账号开通或注销申请功能</w:t>
            </w:r>
          </w:p>
        </w:tc>
      </w:tr>
      <w:tr w14:paraId="10E41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A04AB1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74E9D47">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数据统计列表</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BCEABB0">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查看集团所有不同类型数据同比环比情况</w:t>
            </w:r>
          </w:p>
        </w:tc>
      </w:tr>
      <w:tr w14:paraId="63C6E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87AA4F6">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B5AA2E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企业数据上传</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101F77D">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所属企业企业信息、事项清单、制度信息等数据上传至国资监管平台操作页面</w:t>
            </w:r>
          </w:p>
        </w:tc>
      </w:tr>
      <w:tr w14:paraId="39B40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B49C6BC">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22C7EA5">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企业信息</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36F2B17">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用于下属企业信息填报，用户登录系统后可以查看企业的基本信息、党委（党组）成员、经理班子成员、董事会成员及其他成员</w:t>
            </w:r>
          </w:p>
        </w:tc>
      </w:tr>
      <w:tr w14:paraId="0165D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9E6D1C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1C8276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事项清单</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9154BEE">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用于重大项目的填报，用户登录系统后可以查看“三重一大”事项清单的分布、决策及完成情况</w:t>
            </w:r>
          </w:p>
        </w:tc>
      </w:tr>
      <w:tr w14:paraId="7FDE5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278BD66">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4F838ED">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制度信息</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42062B0">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用于重要制度文件的填报，用户登录平台后可以实时查看制度建设、审批情况，</w:t>
            </w:r>
          </w:p>
        </w:tc>
      </w:tr>
      <w:tr w14:paraId="7A91C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B5B0754">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4D8B5C5">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决策会议</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B02E7AE">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用于重大事项、重要人事任免、大额资金使用相关会议的提出、审批、召开、表决、决策等各环节的记录</w:t>
            </w:r>
          </w:p>
        </w:tc>
      </w:tr>
      <w:tr w14:paraId="19B9E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50C1EE0">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ADB455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组织实施</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CB7F64E">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用于对主要议题进行督办，及时掌控议题的实施状态</w:t>
            </w:r>
          </w:p>
        </w:tc>
      </w:tr>
      <w:tr w14:paraId="59B4A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D12F85A">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DC7244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回收站</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0CB805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保存已经删除的事项清单</w:t>
            </w:r>
          </w:p>
        </w:tc>
      </w:tr>
      <w:tr w14:paraId="7AD06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C2FFC0E">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929A24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审批人维护</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2C4AC40">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统支持对不同层级的公司填报、审批人员进行维护，界面化配置，方便操作，可以实时变更和维护</w:t>
            </w:r>
          </w:p>
        </w:tc>
      </w:tr>
      <w:tr w14:paraId="34549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restar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4E26D41">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方正仿宋简体" w:hAnsi="方正仿宋简体" w:eastAsia="方正仿宋简体" w:cs="方正仿宋简体"/>
                <w:kern w:val="2"/>
                <w:sz w:val="24"/>
                <w:szCs w:val="24"/>
                <w:lang w:val="en-US" w:eastAsia="zh-CN" w:bidi="ar-SA"/>
              </w:rPr>
              <w:t>改革三年行动在线督办系统</w:t>
            </w:r>
          </w:p>
        </w:tc>
        <w:tc>
          <w:tcPr>
            <w:tcW w:w="205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65EADF36">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数据填报</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847C498">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按照月份为单位，综合填报数据</w:t>
            </w:r>
          </w:p>
        </w:tc>
      </w:tr>
      <w:tr w14:paraId="0E810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C054B0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10ABD9AE">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集团业务部门改革工作完成情况</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9068216">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集团负责查看任务完成进度、填写状态以及进行审批操作</w:t>
            </w:r>
          </w:p>
        </w:tc>
      </w:tr>
      <w:tr w14:paraId="1249D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6"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A6C9F9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5C49A568">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各企业改革工作完成情况</w:t>
            </w:r>
          </w:p>
        </w:tc>
        <w:tc>
          <w:tcPr>
            <w:tcW w:w="469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48FAAFC5">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每个二级单位以附件的形式导入实施方案，并按月填写任务完成度</w:t>
            </w:r>
          </w:p>
        </w:tc>
      </w:tr>
      <w:tr w14:paraId="0073D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F45EF7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2121FEDC">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系统管理</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1AD8F4A">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管理员专用，维护系统用户（新增、修改、删除）、修改密码等</w:t>
            </w:r>
          </w:p>
        </w:tc>
      </w:tr>
      <w:tr w14:paraId="00161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4C0C865">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3FA83107">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使用说明</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BD20ED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系统使用说明</w:t>
            </w:r>
          </w:p>
        </w:tc>
      </w:tr>
      <w:tr w14:paraId="4F876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restar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05C682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方正仿宋简体" w:hAnsi="方正仿宋简体" w:eastAsia="方正仿宋简体" w:cs="方正仿宋简体"/>
                <w:kern w:val="2"/>
                <w:sz w:val="24"/>
                <w:szCs w:val="24"/>
                <w:lang w:val="en-US" w:eastAsia="zh-CN" w:bidi="ar-SA"/>
              </w:rPr>
              <w:t>企业组织机构基本信息管理系统</w:t>
            </w: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BA5386E">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单据录入</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0AC4E20">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所属企业录入、查看单位信息页面</w:t>
            </w:r>
          </w:p>
        </w:tc>
      </w:tr>
      <w:tr w14:paraId="5BCE4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0BB4F9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BBF942D">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报表填报</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650F46E">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定期填报企业经营、生产、安全数据页面</w:t>
            </w:r>
          </w:p>
        </w:tc>
      </w:tr>
      <w:tr w14:paraId="10013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9F15651">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17550A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组织地图</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1648B0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根据组织机构信息，生成组织地图可视化界面</w:t>
            </w:r>
          </w:p>
        </w:tc>
      </w:tr>
      <w:tr w14:paraId="45332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5D1133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A8E8938">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机构树形展示</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7789F60">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根据组织机构信息，生成集团组织树形图</w:t>
            </w:r>
          </w:p>
        </w:tc>
      </w:tr>
      <w:tr w14:paraId="70860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4817ADC">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638F18E">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流程监控</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81F1A21">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监控各单据流程进展情况</w:t>
            </w:r>
          </w:p>
        </w:tc>
      </w:tr>
      <w:tr w14:paraId="393A4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BD0262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670EA3C">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数据查询</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FC47637">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实现各项指标的自定义查询</w:t>
            </w:r>
          </w:p>
        </w:tc>
      </w:tr>
      <w:tr w14:paraId="0EA07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restar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34E9C9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方正仿宋简体" w:hAnsi="方正仿宋简体" w:eastAsia="方正仿宋简体" w:cs="方正仿宋简体"/>
                <w:kern w:val="2"/>
                <w:sz w:val="24"/>
                <w:szCs w:val="24"/>
                <w:lang w:val="en-US" w:eastAsia="zh-CN" w:bidi="ar-SA"/>
              </w:rPr>
              <w:t>监督追责管理系统</w:t>
            </w: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25CC411">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实时报告</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BA9571C">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登记并处理线索，完成实时报告信息填报</w:t>
            </w:r>
          </w:p>
        </w:tc>
      </w:tr>
      <w:tr w14:paraId="20B16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E8946A6">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266B05D">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企业基本信息</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0F874C5">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所属企业本登记单位基本信息</w:t>
            </w:r>
          </w:p>
        </w:tc>
      </w:tr>
      <w:tr w14:paraId="4DE3B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A5C5D0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FE5C72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央企规章制度</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AC6EB27">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所属企业本上传单位有关制度、办法</w:t>
            </w:r>
          </w:p>
        </w:tc>
      </w:tr>
      <w:tr w14:paraId="4144B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1A70F57">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09A26E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季度报告</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E4D606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生成监督追责季度报告</w:t>
            </w:r>
          </w:p>
        </w:tc>
      </w:tr>
      <w:tr w14:paraId="466F8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3B3E44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3F3A9A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年度报告</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43A9DF5">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生成监督追责年度报告</w:t>
            </w:r>
          </w:p>
        </w:tc>
      </w:tr>
      <w:tr w14:paraId="4778C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E8B2F01">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F806E1A">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央企禁入限制人员信息</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B76A52C">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登记禁入限制人员信息</w:t>
            </w:r>
          </w:p>
        </w:tc>
      </w:tr>
      <w:tr w14:paraId="1A9A1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restar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527453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方正仿宋简体" w:hAnsi="方正仿宋简体" w:eastAsia="方正仿宋简体" w:cs="方正仿宋简体"/>
                <w:kern w:val="2"/>
                <w:sz w:val="24"/>
                <w:szCs w:val="24"/>
                <w:lang w:val="en-US" w:eastAsia="zh-CN" w:bidi="ar-SA"/>
              </w:rPr>
              <w:t>节能综合管理系统</w:t>
            </w: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CABCB18">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驾驶舱</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F4F51CE">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图文数结合展现集团公司与行业板块整体节能管理情况</w:t>
            </w:r>
          </w:p>
        </w:tc>
      </w:tr>
      <w:tr w14:paraId="5A695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86AE5BD">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FA7D034">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上报管理</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9751DD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实现基层企业、二级公司节能月度和年度数据上报及审核功能，对集团公司下属企业上报质量进行量化评价，展示填报审核汇总信息</w:t>
            </w:r>
          </w:p>
        </w:tc>
      </w:tr>
      <w:tr w14:paraId="04450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8BBA4A5">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96563E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目标责任</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FC98C2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实现集团公司目标责任制定、分解、执行过程管理</w:t>
            </w:r>
          </w:p>
        </w:tc>
      </w:tr>
      <w:tr w14:paraId="02C86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86398A6">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A66844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统计报表</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9F439A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展示国资委体系与中煤体系统计口径报表</w:t>
            </w:r>
          </w:p>
        </w:tc>
      </w:tr>
      <w:tr w14:paraId="2313E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4AEA6AE">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C58EEF0">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分析评估</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2E899F5">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基于企业上报节能数据，以台账和图形化方式展示节能统计台账、能源消费分析、分析报告等功能</w:t>
            </w:r>
          </w:p>
        </w:tc>
      </w:tr>
      <w:tr w14:paraId="65EB6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9513677">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2B9CBBC">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能源监测</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0FCE1BD">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以图形页面展示高耗能企业总体能源监测情况</w:t>
            </w:r>
          </w:p>
        </w:tc>
      </w:tr>
      <w:tr w14:paraId="7D30A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F9DDC51">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D0E808C">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综合管理</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A4E116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实现节能工作综合管理</w:t>
            </w:r>
          </w:p>
        </w:tc>
      </w:tr>
      <w:tr w14:paraId="12D49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420B07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8D983FD">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项目管理</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E378E74">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实现节能项目的统一管理</w:t>
            </w:r>
          </w:p>
        </w:tc>
      </w:tr>
      <w:tr w14:paraId="2C5B3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F8D6FFD">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2DDFFC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制度体系</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2E71E8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实现法律法规标准管理、先进节能技术库、节能资讯公告、节能智答等制度体系功能</w:t>
            </w:r>
          </w:p>
        </w:tc>
      </w:tr>
      <w:tr w14:paraId="7813F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tcBorders>
              <w:top w:val="single" w:color="000000" w:sz="4" w:space="0"/>
              <w:left w:val="single" w:color="000000" w:sz="4" w:space="0"/>
              <w:right w:val="single" w:color="000000" w:sz="4" w:space="0"/>
            </w:tcBorders>
            <w:noWrap/>
            <w:tcMar>
              <w:top w:w="10" w:type="dxa"/>
              <w:left w:w="10" w:type="dxa"/>
              <w:right w:w="10" w:type="dxa"/>
            </w:tcMar>
            <w:vAlign w:val="center"/>
          </w:tcPr>
          <w:p w14:paraId="061A8D4C">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3294EDA">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基础管理</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2BBCBB7">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实现节能管理系统基础信息与参数配置管理</w:t>
            </w:r>
          </w:p>
        </w:tc>
      </w:tr>
      <w:tr w14:paraId="2AB49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restar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00D465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方正仿宋简体" w:hAnsi="方正仿宋简体" w:eastAsia="方正仿宋简体" w:cs="方正仿宋简体"/>
                <w:kern w:val="2"/>
                <w:sz w:val="24"/>
                <w:szCs w:val="24"/>
                <w:lang w:val="en-US" w:eastAsia="zh-CN" w:bidi="ar-SA"/>
              </w:rPr>
              <w:t>党建管理系统</w:t>
            </w: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03355C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党建工作台</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7D380E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分别建立党委、党支部工作台和党员工作台</w:t>
            </w:r>
          </w:p>
        </w:tc>
      </w:tr>
      <w:tr w14:paraId="23B1E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82DD7F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5FB2F7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党组织管理</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9DCE1D6">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梳理党组织机构数据，对党组织信息、组织机构范围内、党组织领导班子换届和历史党组织进行统一管理</w:t>
            </w:r>
          </w:p>
        </w:tc>
      </w:tr>
      <w:tr w14:paraId="439BC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4A6573D">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010ECFC">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党员管理</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F4A3438">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建立党员政治生涯的全周期管理，对组织内正式党员、历史党员、流动党员、失联党员相关信息的维护</w:t>
            </w:r>
          </w:p>
        </w:tc>
      </w:tr>
      <w:tr w14:paraId="51B00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3A5B55A">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42C4A06">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督办任务</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9FF4964">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实现督办任务的下达和承办的全流程管理，并对督办任务情况进行统计分析</w:t>
            </w:r>
          </w:p>
        </w:tc>
      </w:tr>
      <w:tr w14:paraId="3A12C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BCE0D1D">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F64C664">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党务管理</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E75C9C4">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具备三会一课、组织生活会、民主评议党员、主题党日及其他形式的主题活动的统一管理功能</w:t>
            </w:r>
          </w:p>
        </w:tc>
      </w:tr>
      <w:tr w14:paraId="6CDFD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66C19D8">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AFD1734">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党委工作</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675AFE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提供党委工作信息的录入功能</w:t>
            </w:r>
          </w:p>
        </w:tc>
      </w:tr>
      <w:tr w14:paraId="09C2B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E0B2A1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C440C9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统战信息</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0CAB37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实现统战工作领导小组、党外代表人士联系对象、统战工作人员、建言献策工作室的线上管理</w:t>
            </w:r>
          </w:p>
        </w:tc>
      </w:tr>
      <w:tr w14:paraId="53B3B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59D1AA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2A8D4AD">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党建云展馆</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C5F360A">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用音频、视频、图文等多种方式，展示党建云展馆面貌</w:t>
            </w:r>
          </w:p>
        </w:tc>
      </w:tr>
      <w:tr w14:paraId="44C49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6982FB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423BA5E">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统计报表</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9123E4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对党建业务的重要工作内容和各类信息进行统计，结合数据信息的整合情况，可根据需求定制化输出工会、团青等报表信息</w:t>
            </w:r>
          </w:p>
        </w:tc>
      </w:tr>
      <w:tr w14:paraId="1C931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41AE381">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4BB937E">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教育培训</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06739EE">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党员可以随时随地进行在线学习,并可查询自己的学习进度和成绩党组织可以方便地管理党员信息、学习资源等，制定学习计划和考核标准</w:t>
            </w:r>
          </w:p>
        </w:tc>
      </w:tr>
      <w:tr w14:paraId="295A7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E7724C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7FC7EB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宣传文化</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5523CFD">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集团品牌宣传文化等信息录入及维护</w:t>
            </w:r>
          </w:p>
        </w:tc>
      </w:tr>
      <w:tr w14:paraId="64447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890FA0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5AF3FC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工会工作</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7AA4B9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具备组织人员信息、日常活动开展情况、工会经费使用情况等内容实施线上录入、查询、统计等功能</w:t>
            </w:r>
          </w:p>
        </w:tc>
      </w:tr>
      <w:tr w14:paraId="63CAE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21D418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DED25E6">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共青团工作</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9A55C3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实现团青相关组织人员情况、青年安全生产情况、青年创新创效情况等内容进行线上管理</w:t>
            </w:r>
          </w:p>
        </w:tc>
      </w:tr>
      <w:tr w14:paraId="53A45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3" w:hRule="atLeast"/>
        </w:trPr>
        <w:tc>
          <w:tcPr>
            <w:tcW w:w="2167" w:type="dxa"/>
            <w:vMerge w:val="continue"/>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B4C1115">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p>
        </w:tc>
        <w:tc>
          <w:tcPr>
            <w:tcW w:w="2056"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C3E95AD">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乡村振兴</w:t>
            </w:r>
          </w:p>
        </w:tc>
        <w:tc>
          <w:tcPr>
            <w:tcW w:w="4694"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B2F0E7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baseline"/>
              <w:rPr>
                <w:rFonts w:hint="eastAsia" w:ascii="Times New Roman" w:hAnsi="Times New Roman" w:cs="Times New Roman"/>
                <w:kern w:val="2"/>
                <w:sz w:val="24"/>
                <w:szCs w:val="24"/>
                <w:vertAlign w:val="baseline"/>
                <w:lang w:val="en-US" w:eastAsia="zh-CN" w:bidi="ar-SA"/>
              </w:rPr>
            </w:pPr>
            <w:r>
              <w:rPr>
                <w:rFonts w:hint="eastAsia" w:ascii="Times New Roman" w:hAnsi="Times New Roman" w:cs="Times New Roman"/>
                <w:kern w:val="2"/>
                <w:sz w:val="24"/>
                <w:szCs w:val="24"/>
                <w:vertAlign w:val="baseline"/>
                <w:lang w:val="en-US" w:eastAsia="zh-CN" w:bidi="ar-SA"/>
              </w:rPr>
              <w:t>建立乡村振兴信息统一管理系统，包括人员基本信息和资金收支情况的管理统计</w:t>
            </w:r>
          </w:p>
        </w:tc>
      </w:tr>
    </w:tbl>
    <w:p w14:paraId="18011CD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00" w:firstLineChars="200"/>
        <w:textAlignment w:val="baseline"/>
        <w:rPr>
          <w:rFonts w:hint="default" w:ascii="方正仿宋简体" w:hAnsi="方正仿宋简体" w:cs="方正仿宋简体"/>
          <w:kern w:val="2"/>
          <w:sz w:val="30"/>
          <w:szCs w:val="30"/>
          <w:lang w:val="en-US" w:eastAsia="zh-CN" w:bidi="ar-SA"/>
        </w:rPr>
      </w:pPr>
    </w:p>
    <w:p w14:paraId="64869D90">
      <w:pPr>
        <w:pStyle w:val="2"/>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outlineLvl w:val="0"/>
        <w:rPr>
          <w:rFonts w:hint="eastAsia" w:ascii="黑体" w:hAnsi="黑体" w:eastAsia="黑体" w:cs="黑体"/>
          <w:b w:val="0"/>
          <w:bCs w:val="0"/>
          <w:i w:val="0"/>
          <w:caps w:val="0"/>
          <w:color w:val="0F1115"/>
          <w:spacing w:val="0"/>
          <w:sz w:val="30"/>
          <w:szCs w:val="30"/>
          <w:shd w:val="clear" w:color="auto" w:fill="FFFFFF"/>
        </w:rPr>
      </w:pPr>
      <w:r>
        <w:rPr>
          <w:rFonts w:hint="eastAsia" w:ascii="黑体" w:hAnsi="黑体" w:eastAsia="黑体" w:cs="黑体"/>
          <w:b w:val="0"/>
          <w:bCs w:val="0"/>
          <w:i w:val="0"/>
          <w:caps w:val="0"/>
          <w:color w:val="0F1115"/>
          <w:spacing w:val="0"/>
          <w:sz w:val="30"/>
          <w:szCs w:val="30"/>
          <w:shd w:val="clear" w:color="auto" w:fill="FFFFFF"/>
          <w:lang w:val="en-US" w:eastAsia="zh-CN"/>
        </w:rPr>
        <w:t>交付物要求</w:t>
      </w:r>
    </w:p>
    <w:p w14:paraId="5CC710E0">
      <w:pPr>
        <w:pStyle w:val="3"/>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default" w:eastAsia="方正仿宋简体"/>
          <w:lang w:val="en-US" w:eastAsia="zh-CN"/>
        </w:rPr>
      </w:pPr>
      <w:r>
        <w:rPr>
          <w:rFonts w:hint="eastAsia"/>
          <w:color w:val="000000"/>
          <w:lang w:val="en-US" w:eastAsia="zh-CN"/>
        </w:rPr>
        <w:t>最终交付物需包含</w:t>
      </w:r>
      <w:r>
        <w:rPr>
          <w:rFonts w:hint="eastAsia" w:ascii="方正仿宋简体" w:hAnsi="方正仿宋简体" w:eastAsia="方正仿宋简体" w:cs="方正仿宋简体"/>
          <w:color w:val="000000"/>
          <w:kern w:val="2"/>
          <w:sz w:val="30"/>
          <w:szCs w:val="30"/>
          <w:lang w:val="en-US" w:eastAsia="zh-CN" w:bidi="ar-SA"/>
        </w:rPr>
        <w:t>《自主可控</w:t>
      </w:r>
      <w:r>
        <w:rPr>
          <w:rFonts w:hint="eastAsia" w:ascii="方正仿宋简体" w:hAnsi="方正仿宋简体" w:cs="方正仿宋简体"/>
          <w:color w:val="000000"/>
          <w:kern w:val="2"/>
          <w:sz w:val="30"/>
          <w:szCs w:val="30"/>
          <w:lang w:val="en-US" w:eastAsia="zh-CN" w:bidi="ar-SA"/>
        </w:rPr>
        <w:t>测试</w:t>
      </w:r>
      <w:r>
        <w:rPr>
          <w:rFonts w:hint="eastAsia" w:ascii="方正仿宋简体" w:hAnsi="方正仿宋简体" w:eastAsia="方正仿宋简体" w:cs="方正仿宋简体"/>
          <w:color w:val="000000"/>
          <w:kern w:val="2"/>
          <w:sz w:val="30"/>
          <w:szCs w:val="30"/>
          <w:lang w:val="en-US" w:eastAsia="zh-CN" w:bidi="ar-SA"/>
        </w:rPr>
        <w:t>评估报告》</w:t>
      </w:r>
      <w:r>
        <w:rPr>
          <w:rFonts w:hint="eastAsia" w:ascii="方正仿宋简体" w:hAnsi="方正仿宋简体" w:cs="方正仿宋简体"/>
          <w:kern w:val="2"/>
          <w:sz w:val="30"/>
          <w:szCs w:val="30"/>
          <w:lang w:val="en-US" w:eastAsia="zh-CN" w:bidi="ar-SA"/>
        </w:rPr>
        <w:t>、测试过程支撑材料（包括但不限于测试用例集、测试脚本、测试工具列表、关键测试过程截图或录屏、原始性能数据文件、软件物料清单等），应在报价文件中提供其计划出具的最终交付报告样本的样本框架或模板，以展示成果形式。</w:t>
      </w:r>
    </w:p>
    <w:p w14:paraId="6BBDB379">
      <w:pPr>
        <w:pStyle w:val="2"/>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outlineLvl w:val="0"/>
        <w:rPr>
          <w:rFonts w:hint="eastAsia" w:ascii="黑体" w:hAnsi="黑体" w:eastAsia="黑体" w:cs="黑体"/>
          <w:b w:val="0"/>
          <w:bCs w:val="0"/>
          <w:i w:val="0"/>
          <w:caps w:val="0"/>
          <w:color w:val="0F1115"/>
          <w:spacing w:val="0"/>
          <w:sz w:val="30"/>
          <w:szCs w:val="30"/>
          <w:shd w:val="clear" w:color="auto" w:fill="FFFFFF"/>
        </w:rPr>
      </w:pPr>
      <w:r>
        <w:rPr>
          <w:rFonts w:hint="eastAsia" w:ascii="黑体" w:hAnsi="黑体" w:eastAsia="黑体" w:cs="黑体"/>
          <w:b w:val="0"/>
          <w:bCs w:val="0"/>
          <w:i w:val="0"/>
          <w:caps w:val="0"/>
          <w:color w:val="0F1115"/>
          <w:spacing w:val="0"/>
          <w:sz w:val="30"/>
          <w:szCs w:val="30"/>
          <w:shd w:val="clear" w:color="auto" w:fill="FFFFFF"/>
          <w:lang w:val="en-US" w:eastAsia="zh-CN"/>
        </w:rPr>
        <w:t>其他说明</w:t>
      </w:r>
    </w:p>
    <w:p w14:paraId="4DD11848">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00" w:firstLineChars="200"/>
        <w:textAlignment w:val="baseline"/>
        <w:rPr>
          <w:rFonts w:hint="eastAsia" w:ascii="方正仿宋简体" w:hAnsi="方正仿宋简体" w:eastAsia="方正仿宋简体" w:cs="方正仿宋简体"/>
          <w:kern w:val="2"/>
          <w:sz w:val="30"/>
          <w:szCs w:val="30"/>
          <w:lang w:val="en-US" w:eastAsia="zh-CN" w:bidi="ar-SA"/>
        </w:rPr>
      </w:pPr>
      <w:r>
        <w:rPr>
          <w:rFonts w:hint="default" w:ascii="方正仿宋简体" w:hAnsi="方正仿宋简体" w:eastAsia="方正仿宋简体" w:cs="方正仿宋简体"/>
          <w:kern w:val="2"/>
          <w:sz w:val="30"/>
          <w:szCs w:val="30"/>
          <w:lang w:val="en-US" w:eastAsia="zh-CN" w:bidi="ar-SA"/>
        </w:rPr>
        <w:t>本次测评旨在客观反映范围内系统自主可控改造现状，为后续工作提供精准决策依据。</w:t>
      </w:r>
      <w:r>
        <w:rPr>
          <w:rFonts w:hint="eastAsia" w:ascii="方正仿宋简体" w:hAnsi="方正仿宋简体" w:cs="方正仿宋简体"/>
          <w:kern w:val="2"/>
          <w:sz w:val="30"/>
          <w:szCs w:val="30"/>
          <w:lang w:val="en-US" w:eastAsia="zh-CN" w:bidi="ar-SA"/>
        </w:rPr>
        <w:t>请各</w:t>
      </w:r>
      <w:r>
        <w:rPr>
          <w:rFonts w:hint="default" w:ascii="方正仿宋简体" w:hAnsi="方正仿宋简体" w:eastAsia="方正仿宋简体" w:cs="方正仿宋简体"/>
          <w:kern w:val="2"/>
          <w:sz w:val="30"/>
          <w:szCs w:val="30"/>
          <w:lang w:val="en-US" w:eastAsia="zh-CN" w:bidi="ar-SA"/>
        </w:rPr>
        <w:t>供应商全面评估并科学制定方案</w:t>
      </w:r>
      <w:r>
        <w:rPr>
          <w:rFonts w:hint="eastAsia" w:ascii="方正仿宋简体" w:hAnsi="方正仿宋简体" w:cs="方正仿宋简体"/>
          <w:kern w:val="2"/>
          <w:sz w:val="30"/>
          <w:szCs w:val="30"/>
          <w:lang w:val="en-US" w:eastAsia="zh-CN" w:bidi="ar-SA"/>
        </w:rPr>
        <w:t>，</w:t>
      </w:r>
      <w:r>
        <w:rPr>
          <w:rFonts w:hint="default" w:ascii="方正仿宋简体" w:hAnsi="方正仿宋简体" w:eastAsia="方正仿宋简体" w:cs="方正仿宋简体"/>
          <w:kern w:val="2"/>
          <w:sz w:val="30"/>
          <w:szCs w:val="30"/>
          <w:lang w:val="en-US" w:eastAsia="zh-CN" w:bidi="ar-SA"/>
        </w:rPr>
        <w:t>基于上述内容及所附资料，在</w:t>
      </w:r>
      <w:r>
        <w:rPr>
          <w:rFonts w:hint="eastAsia" w:ascii="方正仿宋简体" w:hAnsi="方正仿宋简体" w:cs="方正仿宋简体"/>
          <w:kern w:val="2"/>
          <w:sz w:val="30"/>
          <w:szCs w:val="30"/>
          <w:lang w:val="en-US" w:eastAsia="zh-CN" w:bidi="ar-SA"/>
        </w:rPr>
        <w:t>报价</w:t>
      </w:r>
      <w:r>
        <w:rPr>
          <w:rFonts w:hint="default" w:ascii="方正仿宋简体" w:hAnsi="方正仿宋简体" w:eastAsia="方正仿宋简体" w:cs="方正仿宋简体"/>
          <w:kern w:val="2"/>
          <w:sz w:val="30"/>
          <w:szCs w:val="30"/>
          <w:lang w:val="en-US" w:eastAsia="zh-CN" w:bidi="ar-SA"/>
        </w:rPr>
        <w:t>文件中重点编制并呈现针对适配性测试的技术方案、人员配置（需具备相关国产化适配测试经验）、进度安排及质量保障措施。</w:t>
      </w:r>
    </w:p>
    <w:p w14:paraId="21D8823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1681B78-842C-4886-9E36-43E9F3A4FF5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86ED0A4-23E2-423E-AD10-6F79C9FC9572}"/>
  </w:font>
  <w:font w:name="方正仿宋简体">
    <w:panose1 w:val="03000509000000000000"/>
    <w:charset w:val="86"/>
    <w:family w:val="auto"/>
    <w:pitch w:val="default"/>
    <w:sig w:usb0="00000001" w:usb1="080E0000" w:usb2="00000000" w:usb3="00000000" w:csb0="00040000" w:csb1="00000000"/>
    <w:embedRegular r:id="rId3" w:fontKey="{E3AE93A1-BCDA-44D4-A6AB-F5F90C247DE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2934AA"/>
    <w:multiLevelType w:val="singleLevel"/>
    <w:tmpl w:val="012934AA"/>
    <w:lvl w:ilvl="0" w:tentative="0">
      <w:start w:val="1"/>
      <w:numFmt w:val="chineseCounting"/>
      <w:suff w:val="nothing"/>
      <w:lvlText w:val="%1、"/>
      <w:lvlJc w:val="left"/>
      <w:rPr>
        <w:rFonts w:hint="eastAsia"/>
      </w:rPr>
    </w:lvl>
  </w:abstractNum>
  <w:abstractNum w:abstractNumId="1">
    <w:nsid w:val="6EDC8DCB"/>
    <w:multiLevelType w:val="singleLevel"/>
    <w:tmpl w:val="6EDC8DCB"/>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6055DF"/>
    <w:rsid w:val="2C291D1D"/>
    <w:rsid w:val="38C07C0F"/>
    <w:rsid w:val="6722767B"/>
    <w:rsid w:val="684E2E63"/>
    <w:rsid w:val="6F6055DF"/>
    <w:rsid w:val="775E45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pageBreakBefore/>
      <w:spacing w:beforeLines="0" w:afterLines="0" w:line="720" w:lineRule="auto"/>
      <w:outlineLvl w:val="0"/>
    </w:pPr>
    <w:rPr>
      <w:rFonts w:hint="eastAsia" w:ascii="Times New Roman" w:hAnsi="Times New Roman" w:eastAsia="黑体" w:cs="Times New Roman"/>
      <w:color w:val="auto"/>
      <w:kern w:val="28"/>
      <w:sz w:val="30"/>
      <w:szCs w:val="22"/>
    </w:rPr>
  </w:style>
  <w:style w:type="paragraph" w:styleId="5">
    <w:name w:val="heading 2"/>
    <w:basedOn w:val="1"/>
    <w:next w:val="6"/>
    <w:semiHidden/>
    <w:unhideWhenUsed/>
    <w:qFormat/>
    <w:uiPriority w:val="0"/>
    <w:pPr>
      <w:keepNext/>
      <w:keepLines/>
      <w:spacing w:before="260" w:after="260" w:line="360" w:lineRule="auto"/>
      <w:outlineLvl w:val="1"/>
    </w:pPr>
    <w:rPr>
      <w:rFonts w:ascii="Arial" w:hAnsi="Arial" w:eastAsia="黑体" w:cs="Times New Roman"/>
      <w:sz w:val="32"/>
      <w:szCs w:val="20"/>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next w:val="3"/>
    <w:qFormat/>
    <w:uiPriority w:val="0"/>
    <w:pPr>
      <w:widowControl w:val="0"/>
      <w:spacing w:line="360" w:lineRule="auto"/>
      <w:ind w:firstLine="964" w:firstLineChars="200"/>
      <w:jc w:val="both"/>
    </w:pPr>
    <w:rPr>
      <w:rFonts w:hint="eastAsia" w:ascii="Times New Roman" w:hAnsi="Times New Roman" w:eastAsia="宋体" w:cs="Times New Roman"/>
      <w:kern w:val="2"/>
      <w:sz w:val="30"/>
      <w:lang w:val="en-US" w:eastAsia="zh-CN" w:bidi="ar-SA"/>
    </w:rPr>
  </w:style>
  <w:style w:type="paragraph" w:customStyle="1" w:styleId="3">
    <w:name w:val="正文部分"/>
    <w:qFormat/>
    <w:uiPriority w:val="99"/>
    <w:pPr>
      <w:widowControl w:val="0"/>
      <w:adjustRightInd w:val="0"/>
      <w:snapToGrid w:val="0"/>
      <w:spacing w:line="480" w:lineRule="exact"/>
      <w:ind w:firstLine="964" w:firstLineChars="200"/>
      <w:jc w:val="both"/>
      <w:textAlignment w:val="baseline"/>
    </w:pPr>
    <w:rPr>
      <w:rFonts w:hint="eastAsia" w:ascii="Times New Roman" w:hAnsi="Times New Roman" w:eastAsia="方正仿宋简体" w:cs="Times New Roman"/>
      <w:kern w:val="0"/>
      <w:sz w:val="30"/>
      <w:szCs w:val="20"/>
      <w:lang w:val="en-US" w:eastAsia="zh-CN" w:bidi="ar-SA"/>
    </w:rPr>
  </w:style>
  <w:style w:type="paragraph" w:styleId="6">
    <w:name w:val="Normal Indent"/>
    <w:basedOn w:val="1"/>
    <w:qFormat/>
    <w:uiPriority w:val="0"/>
    <w:pPr>
      <w:ind w:firstLine="420" w:firstLineChars="2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3037</Words>
  <Characters>3054</Characters>
  <Lines>0</Lines>
  <Paragraphs>0</Paragraphs>
  <TotalTime>0</TotalTime>
  <ScaleCrop>false</ScaleCrop>
  <LinksUpToDate>false</LinksUpToDate>
  <CharactersWithSpaces>3054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2026-01-22T03:22:00Z</dcterms:created>
  <dc:creator>王一凡</dc:creator>
  <cp:lastModifiedBy>王一凡</cp:lastModifiedBy>
  <dcterms:modified xsi:type="dcterms:W3CDTF">2026-01-22T03:33:35Z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B94BFE172CFB4799A403F2B16087ABCC_11</vt:lpwstr>
  </property>
  <property fmtid="{D5CDD505-2E9C-101B-9397-08002B2CF9AE}" pid="4" name="KSOTemplateDocerSaveRecord">
    <vt:lpwstr>eyJoZGlkIjoiZGFmYmVkZWNiNjA1ZDQ2MmM0ODc5NzA3YzQ5MmM5MzMiLCJ1c2VySWQiOiIxNDg5NzYyNjczIn0=</vt:lpwstr>
  </property>
</Properties>
</file>